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55"/>
        <w:rPr>
          <w:rFonts w:hint="eastAsia"/>
          <w:color w:val="auto"/>
          <w:highlight w:val="none"/>
        </w:rPr>
      </w:pPr>
      <w:r>
        <w:rPr>
          <w:rFonts w:hint="eastAsia"/>
          <w:color w:val="auto"/>
          <w:highlight w:val="none"/>
        </w:rPr>
      </w:r>
      <w:r/>
    </w:p>
    <w:p>
      <w:pPr>
        <w:pStyle w:val="966"/>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pPr>
      <w:r>
        <w:rPr>
          <w:rFonts w:hint="eastAsia"/>
          <w:b/>
          <w:color w:val="auto"/>
          <w:sz w:val="30"/>
          <w:szCs w:val="30"/>
          <w:highlight w:val="none"/>
        </w:rPr>
        <w:t xml:space="preserve">项目名称：</w:t>
      </w:r>
      <w:r>
        <w:rPr>
          <w:rFonts w:hint="eastAsia"/>
          <w:b/>
          <w:color w:val="auto"/>
          <w:sz w:val="32"/>
          <w:szCs w:val="32"/>
          <w:highlight w:val="none"/>
        </w:rPr>
        <w:t xml:space="preserve">通感一体化双紧缩场测试系统 </w:t>
      </w:r>
      <w:r/>
    </w:p>
    <w:p>
      <w:pPr>
        <w:ind w:firstLine="1506"/>
        <w:rPr>
          <w:rFonts w:hint="eastAsia"/>
          <w:b/>
          <w:color w:val="auto"/>
          <w:sz w:val="30"/>
          <w:szCs w:val="30"/>
          <w:highlight w:val="none"/>
        </w:rPr>
      </w:pPr>
      <w:r>
        <w:rPr>
          <w:rFonts w:hint="eastAsia"/>
          <w:b/>
          <w:color w:val="auto"/>
          <w:sz w:val="30"/>
          <w:szCs w:val="30"/>
          <w:highlight w:val="none"/>
        </w:rPr>
        <w:t xml:space="preserve">项目编号：</w:t>
      </w:r>
      <w:r>
        <w:rPr>
          <w:rFonts w:hint="eastAsia"/>
          <w:b/>
          <w:color w:val="auto"/>
          <w:sz w:val="32"/>
          <w:szCs w:val="32"/>
          <w:highlight w:val="none"/>
        </w:rPr>
        <w:t xml:space="preserve">JSZC-320100-JZCG-G2025-0480 </w:t>
      </w:r>
      <w:r>
        <w:rPr>
          <w:rFonts w:hint="eastAsia"/>
          <w:b/>
          <w:color w:val="auto"/>
          <w:sz w:val="30"/>
          <w:szCs w:val="30"/>
          <w:highlight w:val="none"/>
        </w:rPr>
        <w:t xml:space="preserve">              </w:t>
      </w:r>
      <w:r/>
    </w:p>
    <w:p>
      <w:pPr>
        <w:jc w:val="center"/>
        <w:rPr>
          <w:rFonts w:hint="eastAsia"/>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66"/>
        <w:ind w:firstLine="0"/>
        <w:jc w:val="center"/>
        <w:rPr>
          <w:rFonts w:hint="eastAsia"/>
          <w:b/>
          <w:bCs/>
          <w:color w:val="auto"/>
          <w:sz w:val="32"/>
          <w:highlight w:val="none"/>
        </w:rPr>
      </w:pPr>
      <w:r>
        <w:rPr>
          <w:rFonts w:hint="eastAsia"/>
          <w:b/>
          <w:bCs/>
          <w:color w:val="auto"/>
          <w:sz w:val="32"/>
          <w:highlight w:val="none"/>
        </w:rPr>
        <w:t xml:space="preserve">南京市公共资源交易中心</w:t>
      </w:r>
      <w:r/>
    </w:p>
    <w:p>
      <w:pPr>
        <w:jc w:val="center"/>
        <w:rPr>
          <w:rFonts w:hint="eastAsia"/>
          <w:b/>
          <w:color w:val="auto"/>
          <w:sz w:val="32"/>
          <w:szCs w:val="32"/>
          <w:highlight w:val="none"/>
        </w:rPr>
      </w:pPr>
      <w:r>
        <w:rPr>
          <w:rFonts w:hint="eastAsia"/>
          <w:b/>
          <w:color w:val="auto"/>
          <w:sz w:val="32"/>
          <w:szCs w:val="32"/>
          <w:highlight w:val="none"/>
        </w:rPr>
        <w:t xml:space="preserve">2025年1</w:t>
      </w:r>
      <w:r>
        <w:rPr>
          <w:rFonts w:hint="eastAsia"/>
          <w:b/>
          <w:color w:val="auto"/>
          <w:sz w:val="32"/>
          <w:szCs w:val="32"/>
          <w:highlight w:val="none"/>
          <w:lang w:val="en-US" w:eastAsia="zh-CN"/>
        </w:rPr>
        <w:t xml:space="preserve">2</w:t>
      </w:r>
      <w:r>
        <w:rPr>
          <w:rFonts w:hint="eastAsia"/>
          <w:b/>
          <w:color w:val="auto"/>
          <w:sz w:val="32"/>
          <w:szCs w:val="32"/>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left"/>
        <w:spacing w:before="120" w:after="120" w:line="360" w:lineRule="auto"/>
        <w:rPr>
          <w:color w:val="auto"/>
          <w:szCs w:val="21"/>
          <w:highlight w:val="none"/>
        </w:rPr>
      </w:pPr>
      <w:r>
        <w:rPr>
          <w:rFonts w:hint="eastAsia" w:ascii="Arial" w:hAnsi="Arial"/>
          <w:color w:val="auto"/>
          <w:sz w:val="24"/>
          <w:szCs w:val="24"/>
          <w:highlight w:val="none"/>
        </w:rPr>
        <w:t xml:space="preserve"> </w:t>
      </w:r>
      <w:r/>
    </w:p>
    <w:p>
      <w:pPr>
        <w:spacing w:line="480" w:lineRule="auto"/>
        <w:rPr>
          <w:rFonts w:hint="eastAsia" w:ascii="仿宋_GB2312" w:hAnsi="Arial" w:eastAsia="仿宋_GB2312"/>
          <w:b/>
          <w:color w:val="auto"/>
          <w:sz w:val="28"/>
          <w:szCs w:val="21"/>
          <w:highlight w:val="none"/>
        </w:rPr>
      </w:pPr>
      <w:r/>
      <w:bookmarkStart w:id="0" w:name="_Toc120614210"/>
      <w:r/>
      <w:bookmarkStart w:id="1" w:name="_Toc513029200"/>
      <w:r/>
      <w:bookmarkStart w:id="2" w:name="_Toc479757206"/>
      <w:r/>
      <w:bookmarkStart w:id="3" w:name="_Toc523127445"/>
      <w:r/>
      <w:bookmarkStart w:id="4" w:name="_Toc16938516"/>
      <w:r/>
      <w:bookmarkStart w:id="5" w:name="_Toc20823272"/>
      <w:r/>
      <w:bookmarkEnd w:id="0"/>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黑体" w:hAnsi="宋体" w:eastAsia="黑体"/>
          <w:color w:val="auto"/>
          <w:sz w:val="36"/>
          <w:szCs w:val="21"/>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第一章 投标邀请</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spacing w:line="264" w:lineRule="auto"/>
        <w:rPr>
          <w:rFonts w:ascii="宋体" w:hAnsi="宋体"/>
          <w:color w:val="auto"/>
          <w:sz w:val="24"/>
          <w:szCs w:val="24"/>
          <w:highlight w:val="none"/>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宋体" w:hAnsi="宋体"/>
          <w:color w:val="auto"/>
          <w:sz w:val="24"/>
          <w:szCs w:val="24"/>
          <w:highlight w:val="none"/>
        </w:rPr>
        <w:t xml:space="preserve">受紫金山实验室（采购单位）委托，南京市公共资源交易中心（以下简称“交易中心”）就 通感一体化双紧缩场测试系统（项目名称）进行公开招标采购，欢迎符合条件的供应商投标。</w:t>
      </w:r>
      <w:r/>
    </w:p>
    <w:p>
      <w:pPr>
        <w:pStyle w:val="882"/>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jc w:val="left"/>
        <w:spacing w:line="264" w:lineRule="auto"/>
        <w:rPr>
          <w:rFonts w:ascii="宋体" w:hAnsi="宋体"/>
          <w:color w:val="auto"/>
          <w:sz w:val="24"/>
          <w:szCs w:val="24"/>
          <w:highlight w:val="none"/>
        </w:rPr>
      </w:pPr>
      <w:r/>
      <w:bookmarkStart w:id="12" w:name="_Toc35393791"/>
      <w:r/>
      <w:bookmarkStart w:id="13" w:name="_Toc28359080"/>
      <w:r/>
      <w:bookmarkStart w:id="14" w:name="_Toc38985264"/>
      <w:r/>
      <w:bookmarkStart w:id="15" w:name="_Toc28359003"/>
      <w:r/>
      <w:bookmarkStart w:id="16" w:name="_Toc35393622"/>
      <w:r>
        <w:rPr>
          <w:rFonts w:hint="eastAsia" w:ascii="宋体" w:hAnsi="宋体"/>
          <w:color w:val="auto"/>
          <w:sz w:val="24"/>
          <w:szCs w:val="24"/>
          <w:highlight w:val="none"/>
        </w:rPr>
        <w:t xml:space="preserve">1.项目编号：JSZC-320100-JZCG-G2025-0480 </w:t>
      </w:r>
      <w:r/>
    </w:p>
    <w:p>
      <w:pPr>
        <w:ind w:firstLine="480"/>
        <w:jc w:val="left"/>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2.项目名称：通感一体化双紧缩场测试系统</w:t>
      </w:r>
      <w:r/>
    </w:p>
    <w:p>
      <w:pPr>
        <w:ind w:firstLine="480"/>
        <w:jc w:val="left"/>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3.预算金额：2250万元</w:t>
      </w:r>
      <w:r/>
    </w:p>
    <w:p>
      <w:pPr>
        <w:ind w:firstLine="480"/>
        <w:jc w:val="left"/>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4.最高限价：本项目不设最高限价。</w:t>
      </w:r>
      <w:r/>
    </w:p>
    <w:p>
      <w:pPr>
        <w:ind w:firstLine="480"/>
        <w:jc w:val="left"/>
        <w:spacing w:line="264" w:lineRule="auto"/>
        <w:rPr>
          <w:rFonts w:ascii="宋体" w:hAnsi="宋体"/>
          <w:color w:val="auto"/>
          <w:sz w:val="24"/>
          <w:szCs w:val="24"/>
          <w:highlight w:val="none"/>
          <w:u w:val="single"/>
        </w:rPr>
      </w:pPr>
      <w:r>
        <w:rPr>
          <w:rFonts w:hint="eastAsia" w:ascii="宋体" w:hAnsi="宋体"/>
          <w:color w:val="auto"/>
          <w:sz w:val="24"/>
          <w:szCs w:val="24"/>
          <w:highlight w:val="none"/>
        </w:rPr>
        <w:t xml:space="preserve">5.采购需求（</w:t>
      </w:r>
      <w:bookmarkStart w:id="223" w:name="_GoBack"/>
      <w:r/>
      <w:bookmarkEnd w:id="223"/>
      <w:r>
        <w:rPr>
          <w:rFonts w:hint="eastAsia" w:ascii="宋体" w:hAnsi="宋体"/>
          <w:color w:val="auto"/>
          <w:sz w:val="24"/>
          <w:szCs w:val="24"/>
          <w:highlight w:val="none"/>
        </w:rPr>
        <w:t xml:space="preserve">简介）：满足当前业界对于通感双站测试的要求，系统建成后能满足实验室在学术研究方面的创新应用，承接工业界的产品测试服务。</w:t>
      </w:r>
      <w:r>
        <w:rPr>
          <w:rFonts w:hint="eastAsia" w:ascii="宋体" w:hAnsi="宋体" w:cs="宋体"/>
          <w:color w:val="auto"/>
          <w:sz w:val="24"/>
          <w:szCs w:val="24"/>
          <w:highlight w:val="none"/>
        </w:rPr>
        <w:t xml:space="preserve">（详细内容见本招标文件第四章） </w:t>
      </w:r>
      <w:r/>
    </w:p>
    <w:p>
      <w:pPr>
        <w:ind w:firstLine="480"/>
        <w:jc w:val="left"/>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6.合同履行期限：合同签订后100天内</w:t>
      </w:r>
      <w:r/>
    </w:p>
    <w:p>
      <w:pPr>
        <w:ind w:firstLine="480"/>
        <w:jc w:val="left"/>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7.本项目不接受进口产品投标。</w:t>
      </w:r>
      <w:r/>
    </w:p>
    <w:p>
      <w:pPr>
        <w:ind w:firstLine="480"/>
        <w:jc w:val="left"/>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82"/>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color w:val="auto"/>
          <w:sz w:val="24"/>
          <w:szCs w:val="24"/>
          <w:highlight w:val="none"/>
        </w:rPr>
      </w:pPr>
      <w:r/>
      <w:bookmarkStart w:id="17" w:name="_Toc28359081"/>
      <w:r/>
      <w:bookmarkStart w:id="18" w:name="_Toc38985265"/>
      <w:r/>
      <w:bookmarkStart w:id="19" w:name="_Toc35393623"/>
      <w:r/>
      <w:bookmarkStart w:id="20" w:name="_Toc28359004"/>
      <w:r/>
      <w:bookmarkStart w:id="21" w:name="_Toc35393792"/>
      <w:r>
        <w:rPr>
          <w:rFonts w:hint="eastAsia" w:ascii="宋体" w:hAnsi="宋体" w:cs="宋体"/>
          <w:color w:val="auto"/>
          <w:sz w:val="24"/>
          <w:szCs w:val="24"/>
          <w:highlight w:val="none"/>
        </w:rPr>
        <w:t xml:space="preserve">（一）通用资格要求</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2.落实政府采购政策需满足的资格要求：无</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信息传输业</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（二）本项目特定资格要求：</w:t>
      </w:r>
      <w:r>
        <w:rPr>
          <w:rFonts w:hint="eastAsia" w:ascii="宋体" w:hAnsi="宋体"/>
          <w:color w:val="auto"/>
          <w:sz w:val="24"/>
          <w:szCs w:val="24"/>
          <w:highlight w:val="none"/>
        </w:rPr>
        <w:t xml:space="preserve">无</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882"/>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spacing w:line="264" w:lineRule="auto"/>
        <w:rPr>
          <w:rFonts w:ascii="宋体" w:hAnsi="宋体" w:cs="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1.时间：自招标文件公告发布之日起。</w:t>
      </w:r>
      <w:r/>
    </w:p>
    <w:p>
      <w:pPr>
        <w:ind w:firstLine="480"/>
        <w:spacing w:line="264"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82"/>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spacing w:line="264" w:lineRule="auto"/>
        <w:rPr>
          <w:rFonts w:hint="eastAsia" w:ascii="宋体" w:hAnsi="宋体"/>
          <w:bCs/>
          <w:color w:val="auto"/>
          <w:sz w:val="24"/>
          <w:szCs w:val="24"/>
          <w:highlight w:val="none"/>
          <w:u w:val="single"/>
        </w:rPr>
      </w:pPr>
      <w:r/>
      <w:bookmarkStart w:id="27" w:name="_Toc28359007"/>
      <w:r/>
      <w:bookmarkStart w:id="28" w:name="_Toc35393625"/>
      <w:r/>
      <w:bookmarkStart w:id="29" w:name="_Toc38985267"/>
      <w:r/>
      <w:bookmarkStart w:id="30" w:name="_Toc35393794"/>
      <w:r/>
      <w:bookmarkStart w:id="31" w:name="_Toc28359084"/>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25</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rPr>
        <w:t xml:space="preserve">12</w:t>
      </w:r>
      <w:r>
        <w:rPr>
          <w:rFonts w:hint="eastAsia" w:ascii="宋体" w:hAnsi="宋体"/>
          <w:bCs/>
          <w:color w:val="auto"/>
          <w:sz w:val="24"/>
          <w:szCs w:val="24"/>
          <w:highlight w:val="none"/>
        </w:rPr>
        <w:t xml:space="preserve">月29</w:t>
      </w:r>
      <w:r>
        <w:rPr>
          <w:rFonts w:hint="eastAsia" w:ascii="宋体" w:hAnsi="宋体"/>
          <w:bCs/>
          <w:color w:val="auto"/>
          <w:sz w:val="24"/>
          <w:szCs w:val="24"/>
          <w:highlight w:val="none"/>
        </w:rPr>
        <w:t xml:space="preserve">日</w:t>
      </w:r>
      <w:r>
        <w:rPr>
          <w:rFonts w:hint="eastAsia" w:ascii="宋体" w:hAnsi="宋体" w:cs="宋体"/>
          <w:color w:val="auto"/>
          <w:sz w:val="24"/>
          <w:szCs w:val="24"/>
          <w:highlight w:val="none"/>
        </w:rPr>
        <w:t xml:space="preserve">14</w:t>
      </w:r>
      <w:r>
        <w:rPr>
          <w:rFonts w:hint="eastAsia"/>
          <w:bCs/>
          <w:color w:val="auto"/>
          <w:sz w:val="24"/>
          <w:szCs w:val="24"/>
          <w:highlight w:val="none"/>
        </w:rPr>
        <w:t xml:space="preserve">时</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分（北京时间）。</w:t>
      </w:r>
      <w:r/>
    </w:p>
    <w:p>
      <w:pPr>
        <w:ind w:firstLine="480"/>
        <w:spacing w:line="264"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882"/>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spacing w:line="264" w:lineRule="auto"/>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公告期限为自本公告发布之日起5个工作日。</w:t>
      </w:r>
      <w:r/>
    </w:p>
    <w:p>
      <w:pPr>
        <w:pStyle w:val="882"/>
        <w:ind w:firstLine="498"/>
        <w:spacing w:before="145" w:after="145" w:line="264" w:lineRule="auto"/>
        <w:rPr>
          <w:rFonts w:hint="eastAsia"/>
          <w:color w:val="auto"/>
          <w:highlight w:val="none"/>
        </w:rPr>
      </w:pPr>
      <w:r>
        <w:rPr>
          <w:rFonts w:hint="eastAsia"/>
          <w:color w:val="auto"/>
          <w:highlight w:val="none"/>
        </w:rPr>
        <w:t xml:space="preserve">六、其他事宜</w:t>
      </w:r>
      <w:bookmarkEnd w:id="32"/>
      <w:r/>
      <w:bookmarkEnd w:id="33"/>
      <w:r/>
      <w:bookmarkEnd w:id="34"/>
      <w:r/>
      <w:r/>
    </w:p>
    <w:p>
      <w:pPr>
        <w:ind w:left="0" w:right="0" w:firstLine="498"/>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六、其他事宜</w:t>
      </w:r>
      <w:r/>
    </w:p>
    <w:p>
      <w:pPr>
        <w:ind w:left="0" w:right="0" w:firstLine="480"/>
        <w:jc w:val="both"/>
        <w:spacing w:before="0" w:after="0" w:line="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2.本项目不组织勘察及答疑，供应商如对采购需求有疑问，请咨询采购单位联系人。 </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2" w:tooltip="http://www.ccgp-jiangsu.gov.cn/jiangsu/zlxz/ee/ee3a4bc5a3454aa2b0d9312230633ce9.html" w:history="1">
        <w:r>
          <w:rPr>
            <w:rStyle w:val="726"/>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4.有关本次招标的事项若存在变动或修改，请及时关注“江苏政府采购网”（www.ccgp-jiangsu.gov.cn）更正公告。</w:t>
      </w:r>
      <w:r/>
    </w:p>
    <w:p>
      <w:pPr>
        <w:ind w:left="0" w:right="0" w:firstLine="482"/>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5.供应商（含潜在供应商）对采购方式、采购需求、供应商资格条件、评标方法和评标标准、合同文本的询问或质疑向采购人提出，《质疑函》原件通过邮寄方式送达采购人，由采购人负责答复。</w:t>
      </w:r>
      <w:r/>
    </w:p>
    <w:p>
      <w:pPr>
        <w:ind w:firstLine="480"/>
        <w:spacing w:line="264" w:lineRule="auto"/>
        <w:rPr>
          <w:rFonts w:hint="eastAsia" w:ascii="宋体" w:hAnsi="宋体" w:cs="宋体"/>
          <w:color w:val="auto"/>
          <w:sz w:val="24"/>
          <w:szCs w:val="24"/>
          <w:highlight w:val="none"/>
        </w:rPr>
      </w:pPr>
      <w:r>
        <w:rPr>
          <w:rFonts w:ascii="SimSun" w:hAnsi="SimSun" w:eastAsia="SimSun" w:cs="SimSun"/>
          <w:b/>
          <w:color w:val="000000"/>
          <w:sz w:val="24"/>
        </w:rPr>
        <w:t xml:space="preserve">对采购过程、采购结果的询问或质疑向交易中心提出，《质疑函》原件通过邮寄方式送达交易中心，由交易中心负责答复。</w:t>
      </w:r>
      <w:r/>
      <w:r>
        <w:rPr>
          <w:rFonts w:hint="eastAsia" w:ascii="宋体" w:hAnsi="宋体" w:cs="宋体"/>
          <w:color w:val="auto"/>
          <w:sz w:val="24"/>
          <w:szCs w:val="24"/>
          <w:highlight w:val="none"/>
        </w:rPr>
      </w:r>
      <w:r/>
    </w:p>
    <w:p>
      <w:pPr>
        <w:pStyle w:val="882"/>
        <w:ind w:firstLine="465"/>
        <w:spacing w:before="145" w:after="145" w:line="264"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称：紫金山实验室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w:t>
      </w:r>
      <w:r>
        <w:rPr>
          <w:rFonts w:hint="eastAsia" w:ascii="宋体" w:hAnsi="宋体"/>
          <w:color w:val="auto"/>
          <w:sz w:val="24"/>
          <w:szCs w:val="24"/>
          <w:highlight w:val="none"/>
        </w:rPr>
        <w:t xml:space="preserve">江宁</w:t>
      </w:r>
      <w:r>
        <w:rPr>
          <w:rFonts w:hint="eastAsia" w:ascii="宋体" w:hAnsi="宋体" w:cs="宋体"/>
          <w:color w:val="auto"/>
          <w:sz w:val="24"/>
          <w:szCs w:val="24"/>
          <w:highlight w:val="none"/>
        </w:rPr>
        <w:t xml:space="preserve">区</w:t>
      </w:r>
      <w:r>
        <w:rPr>
          <w:rFonts w:hint="eastAsia" w:ascii="宋体" w:hAnsi="宋体"/>
          <w:color w:val="auto"/>
          <w:sz w:val="24"/>
          <w:szCs w:val="24"/>
          <w:highlight w:val="none"/>
        </w:rPr>
        <w:t xml:space="preserve">秣周东</w:t>
      </w:r>
      <w:r>
        <w:rPr>
          <w:rFonts w:hint="eastAsia" w:ascii="宋体" w:hAnsi="宋体" w:cs="宋体"/>
          <w:color w:val="auto"/>
          <w:sz w:val="24"/>
          <w:szCs w:val="24"/>
          <w:highlight w:val="none"/>
        </w:rPr>
        <w:t xml:space="preserve">路</w:t>
      </w:r>
      <w:r>
        <w:rPr>
          <w:rFonts w:hint="eastAsia" w:ascii="宋体" w:hAnsi="宋体"/>
          <w:color w:val="auto"/>
          <w:sz w:val="24"/>
          <w:szCs w:val="24"/>
          <w:highlight w:val="none"/>
        </w:rPr>
        <w:t xml:space="preserve">9</w:t>
      </w:r>
      <w:r>
        <w:rPr>
          <w:rFonts w:hint="eastAsia" w:ascii="宋体" w:hAnsi="宋体" w:cs="宋体"/>
          <w:color w:val="auto"/>
          <w:sz w:val="24"/>
          <w:szCs w:val="24"/>
          <w:highlight w:val="none"/>
        </w:rPr>
        <w:t xml:space="preserve">号</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联系人：陈工</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w:t>
      </w:r>
      <w:bookmarkStart w:id="40" w:name="_Toc28359009"/>
      <w:r/>
      <w:bookmarkStart w:id="41" w:name="_Toc28359086"/>
      <w:r>
        <w:rPr>
          <w:rFonts w:ascii="宋体" w:hAnsi="宋体"/>
          <w:color w:val="auto"/>
          <w:sz w:val="24"/>
          <w:szCs w:val="24"/>
          <w:highlight w:val="none"/>
        </w:rPr>
        <w:t xml:space="preserve">57917082</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40"/>
      <w:r/>
      <w:bookmarkEnd w:id="41"/>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址：南京市建邺区江东中路265号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联系人：郭先生</w:t>
      </w:r>
      <w:r/>
    </w:p>
    <w:p>
      <w:pPr>
        <w:ind w:firstLine="480"/>
        <w:spacing w:line="264" w:lineRule="auto"/>
        <w:rPr>
          <w:rFonts w:hint="eastAsia"/>
          <w:color w:val="auto"/>
          <w:highlight w:val="none"/>
        </w:rPr>
      </w:pPr>
      <w:r>
        <w:rPr>
          <w:rFonts w:hint="eastAsia" w:ascii="宋体" w:hAnsi="宋体"/>
          <w:color w:val="auto"/>
          <w:sz w:val="24"/>
          <w:szCs w:val="24"/>
          <w:highlight w:val="none"/>
        </w:rPr>
        <w:t xml:space="preserve">联系电话：025-68505815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黑体" w:hAnsi="方正小标宋简体" w:eastAsia="黑体" w:cs="方正小标宋简体"/>
          <w:color w:val="auto"/>
          <w:sz w:val="36"/>
          <w:szCs w:val="36"/>
          <w:highlight w:val="none"/>
        </w:rPr>
        <w:br w:type="page" w:clear="all"/>
      </w:r>
      <w:bookmarkEnd w:id="1"/>
      <w:r/>
      <w:bookmarkEnd w:id="2"/>
      <w:r/>
      <w:bookmarkEnd w:id="3"/>
      <w:r/>
      <w:bookmarkEnd w:id="4"/>
      <w:r/>
      <w:bookmarkEnd w:id="5"/>
      <w:r/>
      <w:bookmarkStart w:id="42" w:name="_Toc120614211"/>
      <w:r/>
      <w:bookmarkStart w:id="43" w:name="_Toc479757207"/>
      <w:r/>
      <w:bookmarkStart w:id="44" w:name="_Toc16938558"/>
      <w:r/>
      <w:bookmarkStart w:id="45" w:name="_Toc120614221"/>
      <w:r/>
      <w:bookmarkStart w:id="46" w:name="_Toc513029242"/>
      <w:r/>
      <w:bookmarkStart w:id="47" w:name="_Toc20823314"/>
      <w:r>
        <w:rPr>
          <w:rFonts w:hint="eastAsia" w:ascii="方正小标宋简体" w:hAnsi="方正小标宋简体" w:eastAsia="方正小标宋简体" w:cs="方正小标宋简体"/>
          <w:color w:val="auto"/>
          <w:sz w:val="36"/>
          <w:szCs w:val="36"/>
          <w:highlight w:val="none"/>
        </w:rPr>
        <w:t xml:space="preserve">第二章  </w:t>
      </w:r>
      <w:bookmarkEnd w:id="42"/>
      <w:r/>
      <w:bookmarkStart w:id="48" w:name="_Toc120614213"/>
      <w:r/>
      <w:bookmarkStart w:id="49" w:name="_Toc20823274"/>
      <w:r/>
      <w:bookmarkStart w:id="50" w:name="_Toc16938518"/>
      <w:r/>
      <w:bookmarkStart w:id="51" w:name="_Toc513029202"/>
      <w:r>
        <w:rPr>
          <w:rFonts w:hint="eastAsia" w:ascii="方正小标宋简体" w:hAnsi="方正小标宋简体" w:eastAsia="方正小标宋简体" w:cs="方正小标宋简体"/>
          <w:color w:val="auto"/>
          <w:sz w:val="36"/>
          <w:szCs w:val="36"/>
          <w:highlight w:val="none"/>
        </w:rPr>
        <w:t xml:space="preserve">投标人须知</w:t>
      </w:r>
      <w:bookmarkEnd w:id="48"/>
      <w:r/>
      <w:bookmarkEnd w:id="49"/>
      <w:r/>
      <w:bookmarkEnd w:id="50"/>
      <w:r/>
      <w:bookmarkEnd w:id="51"/>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52" w:name="_Toc20823275"/>
      <w:r/>
      <w:bookmarkStart w:id="53" w:name="_Toc16938519"/>
      <w:r/>
      <w:bookmarkStart w:id="54" w:name="_Toc120614214"/>
      <w:r/>
      <w:bookmarkStart w:id="55" w:name="_Toc513029203"/>
      <w:r>
        <w:rPr>
          <w:rFonts w:hint="eastAsia" w:ascii="方正黑体_GBK" w:hAnsi="方正黑体_GBK" w:eastAsia="方正黑体_GBK" w:cs="方正黑体_GBK"/>
          <w:b w:val="0"/>
          <w:bCs w:val="0"/>
          <w:color w:val="auto"/>
          <w:sz w:val="30"/>
          <w:szCs w:val="30"/>
          <w:highlight w:val="none"/>
        </w:rPr>
        <w:t xml:space="preserve">一、总则</w:t>
      </w:r>
      <w:bookmarkEnd w:id="52"/>
      <w:r/>
      <w:bookmarkEnd w:id="53"/>
      <w:r/>
      <w:bookmarkEnd w:id="54"/>
      <w:r/>
      <w:bookmarkEnd w:id="55"/>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color w:val="auto"/>
          <w:highlight w:val="none"/>
        </w:rPr>
        <w:t xml:space="preserve">1</w:t>
      </w:r>
      <w:bookmarkEnd w:id="57"/>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本文件仅适用于招标公告中所述项目。</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1" w:name="_Toc20823277"/>
      <w:r/>
      <w:bookmarkStart w:id="62" w:name="_Toc16938521"/>
      <w:r/>
      <w:bookmarkStart w:id="63" w:name="_Toc513029205"/>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eastAsia="宋体" w:cs="Times New Roman"/>
          <w:color w:val="auto"/>
          <w:sz w:val="24"/>
          <w:highlight w:val="none"/>
          <w:lang w:eastAsia="zh-CN"/>
        </w:rPr>
        <w:t xml:space="preserve">对</w:t>
      </w:r>
      <w:r>
        <w:rPr>
          <w:rFonts w:hint="eastAsia" w:ascii="宋体" w:hAnsi="宋体" w:eastAsia="宋体" w:cs="Times New Roman"/>
          <w:color w:val="auto"/>
          <w:sz w:val="24"/>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eastAsia="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eastAsia="宋体" w:cs="Times New Roman"/>
          <w:color w:val="auto"/>
          <w:sz w:val="24"/>
          <w:highlight w:val="none"/>
          <w:lang w:eastAsia="zh-CN"/>
        </w:rPr>
        <w:t xml:space="preserve">规定的</w:t>
      </w:r>
      <w:r>
        <w:rPr>
          <w:rFonts w:hint="eastAsia" w:ascii="宋体" w:hAnsi="宋体" w:eastAsia="宋体" w:cs="Times New Roman"/>
          <w:color w:val="auto"/>
          <w:sz w:val="24"/>
          <w:highlight w:val="none"/>
        </w:rPr>
        <w:t xml:space="preserve">实质性要求和条件。</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4" w:name="_Toc20823278"/>
      <w:r/>
      <w:bookmarkStart w:id="65" w:name="_Toc513029206"/>
      <w:r/>
      <w:bookmarkStart w:id="66" w:name="_Toc16938522"/>
      <w:r>
        <w:rPr>
          <w:rFonts w:hint="eastAsia" w:ascii="方正楷体_GBK" w:hAnsi="方正楷体_GBK" w:eastAsia="方正楷体_GBK" w:cs="方正楷体_GBK"/>
          <w:b/>
          <w:bCs/>
          <w:color w:val="auto"/>
          <w:highlight w:val="none"/>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color w:val="auto"/>
          <w:highlight w:val="none"/>
        </w:rPr>
        <w:t xml:space="preserve">4</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无论投标过程中的做法和结果如何</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即被认为接受了本文件的规定和约束。</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auto"/>
          <w:sz w:val="30"/>
          <w:szCs w:val="30"/>
          <w:highlight w:val="none"/>
        </w:rPr>
        <w:t xml:space="preserve">二、招标文件</w:t>
      </w:r>
      <w:bookmarkEnd w:id="71"/>
      <w:r/>
      <w:bookmarkEnd w:id="72"/>
      <w:r/>
      <w:bookmarkEnd w:id="73"/>
      <w:r/>
      <w:bookmarkEnd w:id="74"/>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color w:val="auto"/>
          <w:highlight w:val="none"/>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投标人应</w:t>
      </w:r>
      <w:r>
        <w:rPr>
          <w:rFonts w:hint="eastAsia" w:ascii="宋体" w:hAnsi="宋体" w:eastAsia="宋体" w:cs="Times New Roman"/>
          <w:color w:val="auto"/>
          <w:sz w:val="24"/>
          <w:highlight w:val="none"/>
        </w:rPr>
        <w:t xml:space="preserve">仔细检查招标文件是否齐全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如有缺漏请立即与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并保证所提供的全部资料的真实性</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以使其投标文件对招标文件作出实质性响应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否则其风险由投标人自行承担。</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color w:val="auto"/>
          <w:highlight w:val="none"/>
        </w:rPr>
        <w:t xml:space="preserve">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 任何要求对招标文件进行澄清的投标人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应在投标截止期十日前按招标公告中的通讯地址</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以书面形式通知</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b/>
          <w:bCs/>
          <w:color w:val="auto"/>
          <w:highlight w:val="none"/>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86" w:name="_Toc462564072"/>
      <w:r/>
      <w:bookmarkStart w:id="87" w:name="_Toc513029213"/>
      <w:r/>
      <w:bookmarkStart w:id="88" w:name="_Toc16938529"/>
      <w:r/>
      <w:bookmarkStart w:id="89" w:name="_Toc20823285"/>
      <w:r/>
      <w:bookmarkStart w:id="90" w:name="_Toc120614216"/>
      <w:r>
        <w:rPr>
          <w:rFonts w:hint="eastAsia" w:ascii="宋体" w:hAnsi="宋体" w:eastAsia="宋体" w:cs="Times New Roman"/>
          <w:color w:val="auto"/>
          <w:sz w:val="24"/>
          <w:highlight w:val="none"/>
        </w:rPr>
        <w:t xml:space="preserve">8.1 在投标截止时间前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交易中心可以对招标文件进行修改。招标文件的修改将在原公告媒体发布更正公告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更正内容将作为招标文件的组成部分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投标人应在提交投标文件截止时间前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关注原公告媒体有关本项目的更正公告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根据更正公告内容自行决定是否需要重新制作和提交投标文件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交易中心有权按照法定的要求推迟投标截止日期和开标日期</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并在原公告媒体发布更正公告。</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6"/>
      <w:r/>
      <w:bookmarkEnd w:id="87"/>
      <w:r/>
      <w:bookmarkEnd w:id="88"/>
      <w:r/>
      <w:bookmarkEnd w:id="89"/>
      <w:r/>
      <w:bookmarkEnd w:id="90"/>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91" w:name="_Toc462564073"/>
      <w:r/>
      <w:bookmarkStart w:id="92" w:name="_Toc513029214"/>
      <w:r/>
      <w:bookmarkStart w:id="93" w:name="_Toc20823286"/>
      <w:r/>
      <w:bookmarkStart w:id="94" w:name="_Toc16938530"/>
      <w:r>
        <w:rPr>
          <w:rFonts w:hint="eastAsia" w:ascii="方正楷体_GBK" w:hAnsi="方正楷体_GBK" w:eastAsia="方正楷体_GBK" w:cs="方正楷体_GBK"/>
          <w:b/>
          <w:bCs/>
          <w:color w:val="auto"/>
          <w:highlight w:val="none"/>
        </w:rPr>
        <w:t xml:space="preserve">9</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9.2 除技术性能另有规定外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投标文件所使用的度量衡单位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均须采用国家法定计量单位。</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b/>
          <w:bCs/>
          <w:color w:val="auto"/>
          <w:highlight w:val="none"/>
        </w:rPr>
        <w:t xml:space="preserve">10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10.2 如标书制作工具中格式和内容与“江苏政府采购网”发布的招标文件不一致</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b w:val="0"/>
          <w:bCs w:val="0"/>
          <w:i w:val="0"/>
          <w:iCs w:val="0"/>
          <w:color w:val="auto"/>
          <w:sz w:val="24"/>
          <w:highlight w:val="none"/>
          <w:u w:val="none"/>
        </w:rPr>
        <w:t xml:space="preserve">以“江苏政府采购网”发布的招标文件为准。</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99" w:name="_Hlt26668975"/>
      <w:r/>
      <w:bookmarkEnd w:id="99"/>
      <w:r/>
      <w:bookmarkStart w:id="100" w:name="_Hlt26670360"/>
      <w:r/>
      <w:bookmarkEnd w:id="100"/>
      <w:r/>
      <w:bookmarkStart w:id="101" w:name="_Hlt26954838"/>
      <w:r/>
      <w:bookmarkEnd w:id="101"/>
      <w:r/>
      <w:bookmarkStart w:id="102" w:name="_Toc513029219"/>
      <w:r/>
      <w:bookmarkStart w:id="103" w:name="_Toc49090509"/>
      <w:r/>
      <w:bookmarkStart w:id="104" w:name="_Toc14577357"/>
      <w:r/>
      <w:bookmarkStart w:id="105" w:name="_Toc49090507"/>
      <w:r/>
      <w:bookmarkStart w:id="106" w:name="_Toc14577354"/>
      <w:r/>
      <w:bookmarkStart w:id="107" w:name="_Toc513029216"/>
      <w:r>
        <w:rPr>
          <w:rFonts w:hint="eastAsia" w:ascii="方正楷体_GBK" w:hAnsi="方正楷体_GBK" w:eastAsia="方正楷体_GBK" w:cs="方正楷体_GBK"/>
          <w:b/>
          <w:bCs/>
          <w:color w:val="auto"/>
          <w:highlight w:val="none"/>
        </w:rPr>
        <w:t xml:space="preserve">11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108" w:name="_Toc14577355"/>
      <w:r/>
      <w:bookmarkStart w:id="109" w:name="_Toc49090508"/>
      <w:r>
        <w:rPr>
          <w:rFonts w:hint="eastAsia" w:ascii="宋体" w:hAnsi="宋体" w:eastAsia="宋体" w:cs="Times New Roman"/>
          <w:color w:val="auto"/>
          <w:sz w:val="24"/>
          <w:highlight w:val="none"/>
        </w:rPr>
        <w:t xml:space="preserve">11.1 投标人应按照法律、法规、规章和规范性文件以及招标文件要求提交证明文件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招标文件对证明文件无明确形式要求的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证明文件可以以文字资料、图纸和数据等形式提交。</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12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投标分项报价</w:t>
      </w:r>
      <w:bookmarkEnd w:id="108"/>
      <w:r/>
      <w:bookmarkStart w:id="110" w:name="_Hlt26670373"/>
      <w:r/>
      <w:bookmarkEnd w:id="110"/>
      <w:r>
        <w:rPr>
          <w:rFonts w:hint="eastAsia" w:ascii="方正楷体_GBK" w:hAnsi="方正楷体_GBK" w:eastAsia="方正楷体_GBK" w:cs="方正楷体_GBK"/>
          <w:b/>
          <w:bCs/>
          <w:color w:val="auto"/>
          <w:highlight w:val="none"/>
        </w:rPr>
        <w:t xml:space="preserve">表</w:t>
      </w:r>
      <w:bookmarkEnd w:id="109"/>
      <w:r>
        <w:rPr>
          <w:rFonts w:hint="eastAsia" w:ascii="方正楷体_GBK" w:hAnsi="方正楷体_GBK" w:eastAsia="方正楷体_GBK" w:cs="方正楷体_GBK"/>
          <w:b/>
          <w:bCs/>
          <w:color w:val="auto"/>
          <w:highlight w:val="none"/>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12.1 投</w:t>
      </w:r>
      <w:bookmarkStart w:id="111" w:name="_Hlt26954840"/>
      <w:r/>
      <w:bookmarkEnd w:id="111"/>
      <w:r>
        <w:rPr>
          <w:rFonts w:hint="eastAsia" w:ascii="宋体" w:hAnsi="宋体" w:eastAsia="宋体" w:cs="Times New Roman"/>
          <w:color w:val="auto"/>
          <w:sz w:val="24"/>
          <w:highlight w:val="none"/>
        </w:rPr>
        <w:t xml:space="preserve">标人应按照招标文件规定格式填报投标分项报价表</w:t>
      </w:r>
      <w:bookmarkStart w:id="112" w:name="_Hlt26670399"/>
      <w:r/>
      <w:bookmarkEnd w:id="112"/>
      <w:r>
        <w:rPr>
          <w:rFonts w:hint="eastAsia" w:ascii="宋体" w:hAnsi="宋体" w:eastAsia="宋体" w:cs="Times New Roman"/>
          <w:color w:val="auto"/>
          <w:sz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投标文件中的单价和总价无特殊规定的采用人民币报价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以元为单位标注。招标文件另有规定的按规定执行。</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13" w:name="_Hlt26954846"/>
      <w:r/>
      <w:bookmarkEnd w:id="113"/>
      <w:r/>
      <w:bookmarkStart w:id="114" w:name="_Hlt26670425"/>
      <w:r/>
      <w:bookmarkEnd w:id="114"/>
      <w:r/>
      <w:bookmarkStart w:id="115" w:name="_Hlt26670482"/>
      <w:r/>
      <w:bookmarkEnd w:id="115"/>
      <w:r/>
      <w:bookmarkStart w:id="116" w:name="_Hlt26954844"/>
      <w:r/>
      <w:bookmarkEnd w:id="116"/>
      <w:r/>
      <w:bookmarkStart w:id="117" w:name="_Hlt26954731"/>
      <w:r/>
      <w:bookmarkEnd w:id="117"/>
      <w:r/>
      <w:bookmarkStart w:id="118" w:name="_Hlt26954842"/>
      <w:r/>
      <w:bookmarkEnd w:id="118"/>
      <w:r/>
      <w:bookmarkStart w:id="119" w:name="_Hlt26668983"/>
      <w:r/>
      <w:bookmarkEnd w:id="119"/>
      <w:r/>
      <w:bookmarkStart w:id="120" w:name="_Hlt26670486"/>
      <w:r/>
      <w:bookmarkEnd w:id="120"/>
      <w:r/>
      <w:bookmarkStart w:id="121" w:name="_Hlt26954848"/>
      <w:r/>
      <w:bookmarkEnd w:id="121"/>
      <w:r/>
      <w:bookmarkStart w:id="122" w:name="_Hlt26670403"/>
      <w:r/>
      <w:bookmarkEnd w:id="122"/>
      <w:r>
        <w:rPr>
          <w:rFonts w:hint="eastAsia" w:ascii="方正楷体_GBK" w:hAnsi="方正楷体_GBK" w:eastAsia="方正楷体_GBK" w:cs="方正楷体_GBK"/>
          <w:b/>
          <w:bCs/>
          <w:color w:val="auto"/>
          <w:highlight w:val="none"/>
        </w:rPr>
        <w:t xml:space="preserve">13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13.2 投标人可以在投标文件中提供认为需要的其他技术文件或说明。</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23" w:name="_Toc49090510"/>
      <w:r/>
      <w:bookmarkStart w:id="124" w:name="_Toc14577359"/>
      <w:r>
        <w:rPr>
          <w:rFonts w:hint="eastAsia" w:ascii="方正楷体_GBK" w:hAnsi="方正楷体_GBK" w:eastAsia="方正楷体_GBK" w:cs="方正楷体_GBK"/>
          <w:b/>
          <w:bCs/>
          <w:color w:val="auto"/>
          <w:highlight w:val="none"/>
        </w:rPr>
        <w:t xml:space="preserve">14</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投标函和开标一览表</w:t>
      </w:r>
      <w:r>
        <w:rPr>
          <w:rFonts w:hint="eastAsia" w:ascii="方正楷体_GBK" w:hAnsi="方正楷体_GBK" w:eastAsia="方正楷体_GBK" w:cs="方正楷体_GBK"/>
          <w:b/>
          <w:bCs/>
          <w:color w:val="auto"/>
          <w:highlight w:val="none"/>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14.1 投标人应按照招标文件规定格式完整、正确填报投标函、开标一览表及</w:t>
      </w:r>
      <w:r>
        <w:rPr>
          <w:rFonts w:hint="eastAsia" w:ascii="宋体" w:hAnsi="宋体" w:eastAsia="宋体" w:cs="Times New Roman"/>
          <w:color w:val="auto"/>
          <w:sz w:val="24"/>
          <w:highlight w:val="none"/>
          <w:lang w:val="zh-CN" w:eastAsia="zh-CN"/>
        </w:rPr>
        <w:t xml:space="preserve">核心产品品牌一</w:t>
      </w:r>
      <w:r>
        <w:rPr>
          <w:rFonts w:hint="eastAsia" w:ascii="宋体" w:hAnsi="宋体" w:eastAsia="宋体" w:cs="Times New Roman"/>
          <w:color w:val="auto"/>
          <w:sz w:val="24"/>
          <w:highlight w:val="none"/>
          <w:lang w:val="zh-CN"/>
        </w:rPr>
        <w:t xml:space="preserve">览表</w:t>
      </w:r>
      <w:r>
        <w:rPr>
          <w:rFonts w:hint="eastAsia" w:ascii="宋体" w:hAnsi="宋体" w:eastAsia="宋体" w:cs="Times New Roman"/>
          <w:color w:val="auto"/>
          <w:sz w:val="24"/>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highlight w:val="none"/>
          <w:lang w:val="en-US" w:eastAsia="zh-CN"/>
        </w:rPr>
        <w:t xml:space="preserve">以</w:t>
      </w:r>
      <w:r>
        <w:rPr>
          <w:rFonts w:hint="eastAsia" w:ascii="宋体" w:hAnsi="宋体" w:eastAsia="宋体" w:cs="Times New Roman"/>
          <w:color w:val="auto"/>
          <w:sz w:val="24"/>
          <w:highlight w:val="none"/>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14.3 核心产品品牌一</w:t>
      </w:r>
      <w:r>
        <w:rPr>
          <w:rFonts w:hint="eastAsia" w:ascii="宋体" w:hAnsi="宋体" w:eastAsia="宋体" w:cs="Times New Roman"/>
          <w:color w:val="auto"/>
          <w:sz w:val="24"/>
          <w:highlight w:val="none"/>
          <w:lang w:val="zh-CN"/>
        </w:rPr>
        <w:t xml:space="preserve">览表中</w:t>
      </w:r>
      <w:r>
        <w:rPr>
          <w:rFonts w:hint="eastAsia" w:ascii="宋体" w:hAnsi="宋体" w:eastAsia="宋体" w:cs="Times New Roman"/>
          <w:color w:val="auto"/>
          <w:sz w:val="24"/>
          <w:highlight w:val="none"/>
          <w:lang w:val="zh-CN" w:eastAsia="zh-CN"/>
        </w:rPr>
        <w:t xml:space="preserve">所投核心产品品牌缺项的将</w:t>
      </w:r>
      <w:r>
        <w:rPr>
          <w:rFonts w:hint="eastAsia" w:ascii="宋体" w:hAnsi="宋体" w:eastAsia="宋体" w:cs="Times New Roman"/>
          <w:color w:val="auto"/>
          <w:sz w:val="24"/>
          <w:highlight w:val="none"/>
          <w:lang w:val="zh-CN"/>
        </w:rPr>
        <w:t xml:space="preserve">视为无效投标。</w:t>
      </w:r>
      <w:bookmarkEnd w:id="123"/>
      <w:r/>
      <w:bookmarkEnd w:id="124"/>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b/>
          <w:bCs/>
          <w:color w:val="auto"/>
          <w:highlight w:val="none"/>
        </w:rPr>
        <w:t xml:space="preserve">15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15.1 投标有效期为</w:t>
      </w:r>
      <w:r>
        <w:rPr>
          <w:rFonts w:hint="eastAsia" w:ascii="宋体" w:hAnsi="宋体" w:eastAsia="宋体" w:cs="Times New Roman"/>
          <w:color w:val="auto"/>
          <w:sz w:val="24"/>
          <w:highlight w:val="none"/>
          <w:lang w:val="en-US"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eastAsia="宋体" w:cs="Times New Roman"/>
          <w:color w:val="auto"/>
          <w:sz w:val="24"/>
          <w:highlight w:val="none"/>
          <w:lang w:val="en-US" w:eastAsia="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六十天。投标有效期比规定短的将被视为未实质性响应招标文件而</w:t>
      </w:r>
      <w:r>
        <w:rPr>
          <w:rFonts w:hint="eastAsia" w:ascii="宋体" w:hAnsi="宋体" w:eastAsia="宋体" w:cs="Times New Roman"/>
          <w:color w:val="auto"/>
          <w:sz w:val="24"/>
          <w:highlight w:val="none"/>
          <w:lang w:val="en-US" w:eastAsia="zh-CN"/>
        </w:rPr>
        <w:t xml:space="preserve">被</w:t>
      </w:r>
      <w:r>
        <w:rPr>
          <w:rFonts w:hint="eastAsia" w:ascii="宋体" w:hAnsi="宋体" w:eastAsia="宋体" w:cs="Times New Roman"/>
          <w:color w:val="auto"/>
          <w:sz w:val="24"/>
          <w:highlight w:val="none"/>
          <w:lang w:val="zh-CN"/>
        </w:rPr>
        <w:t xml:space="preserve">拒绝。</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16.1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30" w:name="_Hlt26954739"/>
      <w:r/>
      <w:bookmarkEnd w:id="130"/>
      <w:r/>
      <w:bookmarkStart w:id="131" w:name="_Hlt26954852"/>
      <w:r/>
      <w:bookmarkEnd w:id="131"/>
      <w:r/>
      <w:bookmarkStart w:id="132" w:name="_Toc16938540"/>
      <w:r/>
      <w:bookmarkStart w:id="133" w:name="_Toc20823296"/>
      <w:r/>
      <w:bookmarkStart w:id="134" w:name="_Toc513029224"/>
      <w:r/>
      <w:bookmarkStart w:id="135" w:name="_Toc120614217"/>
      <w:r>
        <w:rPr>
          <w:rFonts w:hint="eastAsia" w:ascii="方正黑体_GBK" w:hAnsi="方正黑体_GBK" w:eastAsia="方正黑体_GBK" w:cs="方正黑体_GBK"/>
          <w:b w:val="0"/>
          <w:bCs w:val="0"/>
          <w:color w:val="auto"/>
          <w:sz w:val="30"/>
          <w:szCs w:val="30"/>
          <w:highlight w:val="none"/>
        </w:rPr>
        <w:t xml:space="preserve">四、投标文件的递交</w:t>
      </w:r>
      <w:bookmarkEnd w:id="132"/>
      <w:r/>
      <w:bookmarkEnd w:id="133"/>
      <w:r/>
      <w:bookmarkEnd w:id="134"/>
      <w:r/>
      <w:bookmarkEnd w:id="135"/>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6" w:name="_Toc513029225"/>
      <w:r/>
      <w:bookmarkStart w:id="137" w:name="_Toc20823297"/>
      <w:r/>
      <w:bookmarkStart w:id="138" w:name="_Toc16938541"/>
      <w:r/>
      <w:bookmarkStart w:id="139" w:name="_Toc462564084"/>
      <w:r>
        <w:rPr>
          <w:rFonts w:hint="eastAsia" w:ascii="方正楷体_GBK" w:hAnsi="方正楷体_GBK" w:eastAsia="方正楷体_GBK" w:cs="方正楷体_GBK"/>
          <w:b/>
          <w:bCs/>
          <w:color w:val="auto"/>
          <w:highlight w:val="none"/>
        </w:rPr>
        <w:t xml:space="preserve">17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36"/>
      <w:r/>
      <w:bookmarkEnd w:id="137"/>
      <w:r/>
      <w:bookmarkEnd w:id="138"/>
      <w:r/>
      <w:bookmarkEnd w:id="139"/>
      <w:r>
        <w:rPr>
          <w:rFonts w:hint="eastAsia" w:ascii="方正楷体_GBK" w:hAnsi="方正楷体_GBK" w:eastAsia="方正楷体_GBK" w:cs="方正楷体_GBK"/>
          <w:b/>
          <w:bCs/>
          <w:color w:val="auto"/>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43" w:name="_Toc16938543"/>
      <w:r/>
      <w:bookmarkStart w:id="144" w:name="_Toc20823299"/>
      <w:r/>
      <w:bookmarkStart w:id="145" w:name="_Toc513029227"/>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eastAsia="zh-CN"/>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43"/>
      <w:r/>
      <w:bookmarkEnd w:id="144"/>
      <w:r/>
      <w:bookmarkEnd w:id="145"/>
      <w:r>
        <w:rPr>
          <w:rFonts w:hint="eastAsia" w:ascii="方正楷体_GBK" w:hAnsi="方正楷体_GBK" w:eastAsia="方正楷体_GBK" w:cs="方正楷体_GBK"/>
          <w:b/>
          <w:bCs/>
          <w:color w:val="auto"/>
          <w:highlight w:val="none"/>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投标截止时间后上传的任何投标文件将被拒绝。</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46" w:name="_Toc513029228"/>
      <w:r/>
      <w:bookmarkStart w:id="147" w:name="_Toc20823300"/>
      <w:r/>
      <w:bookmarkStart w:id="148" w:name="_Toc16938544"/>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9.</w:t>
      </w:r>
      <w:r>
        <w:rPr>
          <w:rFonts w:hint="eastAsia" w:ascii="方正楷体_GBK" w:hAnsi="方正楷体_GBK" w:eastAsia="方正楷体_GBK" w:cs="方正楷体_GBK"/>
          <w:b/>
          <w:bCs/>
          <w:color w:val="auto"/>
          <w:highlight w:val="none"/>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在投标截止时间至招标文件中规定的投标有效期满之间的这段时间内，投标人不得撤回其投标。</w:t>
      </w:r>
      <w:bookmarkStart w:id="149" w:name="_Toc16938545"/>
      <w:r/>
      <w:bookmarkStart w:id="150" w:name="_Toc120614218"/>
      <w:r/>
      <w:bookmarkStart w:id="151" w:name="_Toc20823301"/>
      <w:r/>
      <w:bookmarkStart w:id="152" w:name="_Toc513029229"/>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49"/>
      <w:r/>
      <w:bookmarkEnd w:id="150"/>
      <w:r/>
      <w:bookmarkEnd w:id="151"/>
      <w:r/>
      <w:bookmarkEnd w:id="152"/>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53" w:name="_Toc16938546"/>
      <w:r/>
      <w:bookmarkStart w:id="154" w:name="_Toc513029230"/>
      <w:r/>
      <w:bookmarkStart w:id="155" w:name="_Toc20823302"/>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w:t>
      </w:r>
      <w:r>
        <w:rPr>
          <w:rFonts w:hint="eastAsia" w:ascii="宋体" w:hAnsi="宋体" w:eastAsia="宋体" w:cs="Times New Roman"/>
          <w:color w:val="auto"/>
          <w:sz w:val="24"/>
          <w:highlight w:val="none"/>
          <w:lang w:val="en-US" w:eastAsia="zh-CN"/>
        </w:rPr>
        <w:t xml:space="preserve">结果</w:t>
      </w:r>
      <w:r>
        <w:rPr>
          <w:rFonts w:hint="eastAsia" w:ascii="宋体" w:hAnsi="宋体" w:eastAsia="宋体" w:cs="Times New Roman"/>
          <w:color w:val="auto"/>
          <w:sz w:val="24"/>
          <w:highlight w:val="none"/>
          <w:lang w:val="zh-CN"/>
        </w:rPr>
        <w:t xml:space="preserve">有疑义，应当根据《操作手册》规定提出，苏采云系统中《开标记录表》公布后5分钟内未提出的，视同认可开标结果。</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56" w:name="_Toc20823303"/>
      <w:r/>
      <w:bookmarkStart w:id="157" w:name="_Toc513029231"/>
      <w:r/>
      <w:bookmarkStart w:id="158" w:name="_Toc16938547"/>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en-US" w:eastAsia="zh-CN"/>
        </w:rPr>
        <w:t xml:space="preserve">评标由依法组建的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中标候选人</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w:t>
      </w:r>
      <w:r>
        <w:rPr>
          <w:rFonts w:hint="eastAsia" w:ascii="宋体" w:hAnsi="宋体" w:eastAsia="宋体" w:cs="Times New Roman"/>
          <w:color w:val="auto"/>
          <w:sz w:val="24"/>
          <w:highlight w:val="none"/>
          <w:lang w:val="en-US" w:eastAsia="zh-CN"/>
        </w:rPr>
        <w:t xml:space="preserve">方式</w:t>
      </w:r>
      <w:r>
        <w:rPr>
          <w:rFonts w:hint="eastAsia" w:ascii="宋体" w:hAnsi="宋体" w:eastAsia="宋体" w:cs="Times New Roman"/>
          <w:color w:val="auto"/>
          <w:sz w:val="24"/>
          <w:highlight w:val="none"/>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highlight w:val="none"/>
          <w:lang w:val="en-US" w:eastAsia="zh-CN"/>
        </w:rPr>
        <w:t xml:space="preserve">本单位</w:t>
      </w:r>
      <w:r>
        <w:rPr>
          <w:rFonts w:hint="eastAsia" w:ascii="宋体" w:hAnsi="宋体" w:eastAsia="宋体" w:cs="Times New Roman"/>
          <w:color w:val="auto"/>
          <w:sz w:val="24"/>
          <w:highlight w:val="none"/>
          <w:lang w:val="zh-CN"/>
        </w:rPr>
        <w:t xml:space="preserve">的评审得分及排</w:t>
      </w:r>
      <w:r>
        <w:rPr>
          <w:rFonts w:hint="eastAsia" w:ascii="宋体" w:hAnsi="宋体" w:eastAsia="宋体" w:cs="Times New Roman"/>
          <w:color w:val="auto"/>
          <w:sz w:val="24"/>
          <w:highlight w:val="none"/>
          <w:lang w:val="en-US" w:eastAsia="zh-CN"/>
        </w:rPr>
        <w:t xml:space="preserve">名</w:t>
      </w:r>
      <w:r>
        <w:rPr>
          <w:rFonts w:hint="eastAsia" w:ascii="宋体" w:hAnsi="宋体" w:eastAsia="宋体" w:cs="Times New Roman"/>
          <w:color w:val="auto"/>
          <w:sz w:val="24"/>
          <w:highlight w:val="none"/>
          <w:lang w:val="zh-CN"/>
        </w:rPr>
        <w:t xml:space="preserve">情况。</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59" w:name="_Toc20823304"/>
      <w:r/>
      <w:bookmarkStart w:id="160" w:name="_Toc16938548"/>
      <w:r/>
      <w:bookmarkStart w:id="161" w:name="_Toc513029232"/>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需要供应商进行澄清、说明和补正的，评委会将通过苏采云系统向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接到评委会澄清、说明和补正要求的，投标人如未按规定</w:t>
      </w:r>
      <w:r>
        <w:rPr>
          <w:rFonts w:hint="eastAsia" w:ascii="宋体" w:hAnsi="宋体" w:eastAsia="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出澄清、说明和补正，其风险由投标人自行承担。</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投标文件的</w:t>
      </w:r>
      <w:bookmarkEnd w:id="162"/>
      <w:r/>
      <w:bookmarkEnd w:id="163"/>
      <w:r/>
      <w:bookmarkEnd w:id="164"/>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en-US"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en-US"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auto"/>
          <w:sz w:val="24"/>
          <w:highlight w:val="none"/>
          <w:lang w:val="en-US" w:eastAsia="zh-CN"/>
        </w:rPr>
        <w:t xml:space="preserve">等方面对投标文件</w:t>
      </w:r>
      <w:r>
        <w:rPr>
          <w:rFonts w:hint="eastAsia" w:ascii="宋体" w:hAnsi="宋体" w:eastAsia="宋体" w:cs="Times New Roman"/>
          <w:color w:val="auto"/>
          <w:sz w:val="24"/>
          <w:highlight w:val="none"/>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en-US"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en-US"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en-US"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en-US"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en-US"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bookmarkStart w:id="165" w:name="_Toc16938550"/>
      <w:r/>
      <w:bookmarkStart w:id="166" w:name="_Toc513029234"/>
      <w:r/>
      <w:bookmarkStart w:id="167" w:name="_Toc20823306"/>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及评委会联系。</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bookmarkEnd w:id="165"/>
      <w:r/>
      <w:bookmarkEnd w:id="166"/>
      <w:r/>
      <w:bookmarkEnd w:id="167"/>
      <w:r>
        <w:rPr>
          <w:rFonts w:hint="eastAsia" w:ascii="方正楷体_GBK" w:hAnsi="方正楷体_GBK" w:eastAsia="方正楷体_GBK" w:cs="方正楷体_GBK"/>
          <w:b/>
          <w:bCs/>
          <w:color w:val="auto"/>
          <w:highlight w:val="none"/>
          <w:lang w:eastAsia="zh-CN"/>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bookmarkStart w:id="168" w:name="_Toc513029235"/>
      <w:r/>
      <w:bookmarkStart w:id="169" w:name="_Toc16938551"/>
      <w:r/>
      <w:bookmarkStart w:id="170" w:name="_Toc20823307"/>
      <w:r/>
      <w:bookmarkStart w:id="171" w:name="_Toc120614219"/>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无效投标</w:t>
      </w:r>
      <w:r>
        <w:rPr>
          <w:rFonts w:hint="eastAsia" w:ascii="宋体" w:hAnsi="宋体" w:eastAsia="宋体" w:cs="Times New Roman"/>
          <w:color w:val="auto"/>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eastAsia="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不符合招标文件中实质性要求和条件（</w:t>
      </w:r>
      <w:r>
        <w:rPr>
          <w:rFonts w:hint="eastAsia" w:ascii="宋体" w:hAnsi="宋体" w:eastAsia="宋体" w:cs="Times New Roman"/>
          <w:b/>
          <w:bCs/>
          <w:color w:val="auto"/>
          <w:sz w:val="24"/>
          <w:highlight w:val="none"/>
          <w:lang w:val="zh-CN"/>
        </w:rPr>
        <w:t xml:space="preserve">本文件中斜体且有下划线部分，或者打“</w:t>
      </w:r>
      <w:r>
        <w:rPr>
          <w:rFonts w:hint="eastAsia"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zh-CN"/>
        </w:rPr>
        <w:t xml:space="preserve">”内容为实质性要求和条件</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.1.9</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.1.10</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auto"/>
          <w:sz w:val="24"/>
          <w:highlight w:val="none"/>
          <w:lang w:val="zh-CN"/>
        </w:rPr>
        <w:t xml:space="preserve">认为投标人的报价</w:t>
      </w:r>
      <w:r>
        <w:rPr>
          <w:rFonts w:hint="eastAsia" w:ascii="宋体" w:hAnsi="宋体" w:eastAsia="宋体" w:cs="Times New Roman"/>
          <w:color w:val="auto"/>
          <w:sz w:val="24"/>
          <w:highlight w:val="none"/>
          <w:lang w:val="zh-CN" w:eastAsia="zh-CN"/>
        </w:rPr>
        <w:t xml:space="preserve">过低</w:t>
      </w:r>
      <w:r>
        <w:rPr>
          <w:rFonts w:hint="eastAsia" w:ascii="宋体" w:hAnsi="宋体" w:eastAsia="宋体" w:cs="Times New Roman"/>
          <w:color w:val="auto"/>
          <w:sz w:val="24"/>
          <w:highlight w:val="none"/>
          <w:lang w:val="zh-CN"/>
        </w:rPr>
        <w:t xml:space="preserve">，有可能影响</w:t>
      </w:r>
      <w:r>
        <w:rPr>
          <w:rFonts w:hint="eastAsia" w:ascii="宋体" w:hAnsi="宋体" w:eastAsia="宋体" w:cs="Times New Roman"/>
          <w:color w:val="auto"/>
          <w:sz w:val="24"/>
          <w:highlight w:val="none"/>
          <w:lang w:val="zh-CN" w:eastAsia="zh-CN"/>
        </w:rPr>
        <w:t xml:space="preserve">产品或服务</w:t>
      </w:r>
      <w:r>
        <w:rPr>
          <w:rFonts w:hint="eastAsia" w:ascii="宋体" w:hAnsi="宋体" w:eastAsia="宋体" w:cs="Times New Roman"/>
          <w:color w:val="auto"/>
          <w:sz w:val="24"/>
          <w:highlight w:val="none"/>
          <w:lang w:val="zh-CN"/>
        </w:rPr>
        <w:t xml:space="preserve">质量或不能诚信履约的，</w:t>
      </w:r>
      <w:r>
        <w:rPr>
          <w:rFonts w:hint="eastAsia" w:ascii="宋体" w:hAnsi="宋体" w:eastAsia="宋体" w:cs="Times New Roman"/>
          <w:color w:val="auto"/>
          <w:sz w:val="24"/>
          <w:highlight w:val="none"/>
          <w:lang w:val="zh-CN" w:eastAsia="zh-CN"/>
        </w:rPr>
        <w:t xml:space="preserve">应当启动异常低价投标审查机制，</w:t>
      </w:r>
      <w:r>
        <w:rPr>
          <w:rFonts w:hint="eastAsia" w:ascii="宋体" w:hAnsi="宋体" w:eastAsia="宋体" w:cs="Times New Roman"/>
          <w:color w:val="auto"/>
          <w:sz w:val="24"/>
          <w:highlight w:val="none"/>
          <w:lang w:val="zh-CN"/>
        </w:rPr>
        <w:t xml:space="preserve">通过苏采云系统要求</w:t>
      </w:r>
      <w:r>
        <w:rPr>
          <w:rFonts w:hint="eastAsia" w:ascii="宋体" w:hAnsi="宋体" w:eastAsia="宋体" w:cs="Times New Roman"/>
          <w:color w:val="auto"/>
          <w:sz w:val="24"/>
          <w:highlight w:val="none"/>
          <w:lang w:val="zh-CN" w:eastAsia="zh-CN"/>
        </w:rPr>
        <w:t xml:space="preserve">投标人</w:t>
      </w:r>
      <w:r>
        <w:rPr>
          <w:rFonts w:hint="eastAsia" w:ascii="宋体" w:hAnsi="宋体" w:eastAsia="宋体" w:cs="Times New Roman"/>
          <w:color w:val="auto"/>
          <w:sz w:val="24"/>
          <w:highlight w:val="none"/>
          <w:lang w:val="zh-CN"/>
        </w:rPr>
        <w:t xml:space="preserve">在合理的时间内提供</w:t>
      </w:r>
      <w:r>
        <w:rPr>
          <w:rFonts w:hint="eastAsia" w:ascii="宋体" w:hAnsi="宋体" w:eastAsia="宋体" w:cs="Times New Roman"/>
          <w:color w:val="auto"/>
          <w:sz w:val="24"/>
          <w:highlight w:val="none"/>
          <w:lang w:val="zh-CN" w:eastAsia="zh-CN"/>
        </w:rPr>
        <w:t xml:space="preserve">项目具体成本测算等与报价合理性相关的书面</w:t>
      </w:r>
      <w:r>
        <w:rPr>
          <w:rFonts w:hint="eastAsia" w:ascii="宋体" w:hAnsi="宋体" w:eastAsia="宋体" w:cs="Times New Roman"/>
          <w:color w:val="auto"/>
          <w:sz w:val="24"/>
          <w:highlight w:val="none"/>
          <w:lang w:val="zh-CN"/>
        </w:rPr>
        <w:t xml:space="preserve">说明</w:t>
      </w:r>
      <w:r>
        <w:rPr>
          <w:rFonts w:hint="eastAsia" w:ascii="宋体" w:hAnsi="宋体" w:eastAsia="宋体" w:cs="Times New Roman"/>
          <w:color w:val="auto"/>
          <w:sz w:val="24"/>
          <w:highlight w:val="none"/>
          <w:lang w:val="zh-CN" w:eastAsia="zh-CN"/>
        </w:rPr>
        <w:t xml:space="preserve">及相关证明材料</w:t>
      </w:r>
      <w:r>
        <w:rPr>
          <w:rFonts w:hint="eastAsia" w:ascii="宋体" w:hAnsi="宋体" w:eastAsia="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eastAsia="zh-CN"/>
        </w:rPr>
        <w:t xml:space="preserve">不提供书面说明及证明材料，或者书面说明、证明材料</w:t>
      </w:r>
      <w:r>
        <w:rPr>
          <w:rFonts w:hint="eastAsia" w:ascii="宋体" w:hAnsi="宋体" w:eastAsia="宋体" w:cs="Times New Roman"/>
          <w:color w:val="auto"/>
          <w:sz w:val="24"/>
          <w:highlight w:val="none"/>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.1.11</w:t>
      </w:r>
      <w:r>
        <w:rPr>
          <w:rFonts w:hint="eastAsia" w:ascii="宋体" w:hAnsi="宋体" w:eastAsia="宋体" w:cs="Times New Roman"/>
          <w:color w:val="auto"/>
          <w:sz w:val="24"/>
          <w:highlight w:val="none"/>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2 </w:t>
      </w:r>
      <w:r>
        <w:rPr>
          <w:rFonts w:hint="eastAsia" w:ascii="宋体" w:hAnsi="宋体" w:eastAsia="宋体" w:cs="Times New Roman"/>
          <w:color w:val="auto"/>
          <w:sz w:val="24"/>
          <w:highlight w:val="none"/>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废标</w:t>
      </w:r>
      <w:r>
        <w:rPr>
          <w:rFonts w:hint="eastAsia" w:ascii="宋体" w:hAnsi="宋体" w:eastAsia="宋体" w:cs="Times New Roman"/>
          <w:color w:val="auto"/>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.2.5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.3 如出现投标截止时间后参加投标的供应商或者对招标文件作出实质</w:t>
      </w:r>
      <w:r>
        <w:rPr>
          <w:rFonts w:hint="eastAsia" w:ascii="宋体" w:hAnsi="宋体" w:eastAsia="宋体" w:cs="Times New Roman"/>
          <w:color w:val="auto"/>
          <w:sz w:val="24"/>
          <w:highlight w:val="none"/>
          <w:lang w:val="zh-CN" w:eastAsia="zh-CN"/>
        </w:rPr>
        <w:t xml:space="preserve">性</w:t>
      </w:r>
      <w:r>
        <w:rPr>
          <w:rFonts w:hint="eastAsia" w:ascii="宋体" w:hAnsi="宋体" w:eastAsia="宋体" w:cs="Times New Roman"/>
          <w:color w:val="auto"/>
          <w:sz w:val="24"/>
          <w:highlight w:val="none"/>
          <w:lang w:val="zh-CN"/>
        </w:rPr>
        <w:t xml:space="preserve">响应的供应商不足三家</w:t>
      </w:r>
      <w:r>
        <w:rPr>
          <w:rFonts w:hint="eastAsia" w:ascii="宋体" w:hAnsi="宋体" w:eastAsia="宋体" w:cs="Times New Roman"/>
          <w:color w:val="auto"/>
          <w:sz w:val="24"/>
          <w:highlight w:val="none"/>
          <w:lang w:val="zh-CN" w:eastAsia="zh-CN"/>
        </w:rPr>
        <w:t xml:space="preserve">的</w:t>
      </w:r>
      <w:r>
        <w:rPr>
          <w:rFonts w:hint="eastAsia" w:ascii="宋体" w:hAnsi="宋体" w:eastAsia="宋体" w:cs="Times New Roman"/>
          <w:color w:val="auto"/>
          <w:sz w:val="24"/>
          <w:highlight w:val="none"/>
          <w:lang w:val="zh-CN"/>
        </w:rPr>
        <w:t xml:space="preserve">情况，按政府采购相关规定执行。</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25.4 如出现25.2.1或25.3情形，招标活动失败，评审委员会</w:t>
      </w:r>
      <w:r>
        <w:rPr>
          <w:rFonts w:hint="eastAsia" w:ascii="宋体" w:hAnsi="宋体" w:eastAsia="宋体" w:cs="Times New Roman"/>
          <w:color w:val="auto"/>
          <w:sz w:val="24"/>
          <w:highlight w:val="none"/>
          <w:lang w:val="en-US" w:eastAsia="zh-CN"/>
        </w:rPr>
        <w:t xml:space="preserve">应</w:t>
      </w:r>
      <w:r>
        <w:rPr>
          <w:rFonts w:hint="eastAsia" w:ascii="宋体" w:hAnsi="宋体" w:eastAsia="宋体" w:cs="Times New Roman"/>
          <w:b w:val="0"/>
          <w:bCs w:val="0"/>
          <w:color w:val="auto"/>
          <w:sz w:val="24"/>
          <w:szCs w:val="22"/>
          <w:highlight w:val="none"/>
          <w:lang w:val="en-US" w:eastAsia="zh-CN" w:bidi="ar"/>
        </w:rPr>
        <w:t xml:space="preserve">对</w:t>
      </w:r>
      <w:r>
        <w:rPr>
          <w:rFonts w:hint="eastAsia" w:ascii="宋体" w:hAnsi="宋体" w:eastAsia="宋体" w:cs="Times New Roman"/>
          <w:b w:val="0"/>
          <w:bCs w:val="0"/>
          <w:color w:val="auto"/>
          <w:sz w:val="24"/>
          <w:szCs w:val="22"/>
          <w:highlight w:val="none"/>
          <w:lang w:val="zh-CN" w:eastAsia="zh-CN" w:bidi="ar"/>
        </w:rPr>
        <w:t xml:space="preserve">招标文件是否存在不合理条款</w:t>
      </w:r>
      <w:r>
        <w:rPr>
          <w:rFonts w:hint="eastAsia" w:ascii="宋体" w:hAnsi="宋体" w:eastAsia="宋体" w:cs="Times New Roman"/>
          <w:b w:val="0"/>
          <w:bCs w:val="0"/>
          <w:color w:val="auto"/>
          <w:sz w:val="24"/>
          <w:szCs w:val="22"/>
          <w:highlight w:val="none"/>
          <w:lang w:val="en-US" w:eastAsia="zh-CN" w:bidi="ar"/>
        </w:rPr>
        <w:t xml:space="preserve">进行论证，并在评审报告中写明</w:t>
      </w:r>
      <w:r>
        <w:rPr>
          <w:rFonts w:hint="eastAsia" w:ascii="宋体" w:hAnsi="宋体" w:eastAsia="宋体" w:cs="Times New Roman"/>
          <w:b w:val="0"/>
          <w:bCs w:val="0"/>
          <w:color w:val="auto"/>
          <w:sz w:val="24"/>
          <w:szCs w:val="22"/>
          <w:highlight w:val="none"/>
          <w:lang w:val="zh-CN" w:eastAsia="zh-CN" w:bidi="ar"/>
        </w:rPr>
        <w:t xml:space="preserve">论证意见。</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highlight w:val="none"/>
        </w:rPr>
        <w:t xml:space="preserve">定标</w:t>
      </w:r>
      <w:bookmarkEnd w:id="171"/>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72" w:name="_Toc513029238"/>
      <w:r/>
      <w:bookmarkStart w:id="173" w:name="_Toc16938554"/>
      <w:r/>
      <w:bookmarkStart w:id="174" w:name="_Toc20823310"/>
      <w:r>
        <w:rPr>
          <w:rFonts w:hint="eastAsia" w:ascii="方正楷体_GBK" w:hAnsi="方正楷体_GBK" w:eastAsia="方正楷体_GBK" w:cs="方正楷体_GBK"/>
          <w:b/>
          <w:bCs/>
          <w:color w:val="auto"/>
          <w:highlight w:val="none"/>
        </w:rPr>
        <w:t xml:space="preserve">2</w:t>
      </w:r>
      <w:bookmarkEnd w:id="172"/>
      <w:r>
        <w:rPr>
          <w:rFonts w:hint="eastAsia" w:ascii="方正楷体_GBK" w:hAnsi="方正楷体_GBK" w:eastAsia="方正楷体_GBK" w:cs="方正楷体_GBK"/>
          <w:b/>
          <w:bCs/>
          <w:color w:val="auto"/>
          <w:highlight w:val="none"/>
          <w:lang w:eastAsia="zh-CN"/>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确定</w:t>
      </w:r>
      <w:bookmarkEnd w:id="173"/>
      <w:r/>
      <w:bookmarkEnd w:id="174"/>
      <w:r>
        <w:rPr>
          <w:rFonts w:hint="eastAsia" w:ascii="方正楷体_GBK" w:hAnsi="方正楷体_GBK" w:eastAsia="方正楷体_GBK" w:cs="方正楷体_GBK"/>
          <w:b/>
          <w:bCs/>
          <w:color w:val="auto"/>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en-US"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bookmarkStart w:id="175" w:name="_Toc200451960"/>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不同投标人的投标文件异常一致或者投标报价呈规律性差异。</w:t>
      </w:r>
      <w:bookmarkEnd w:id="175"/>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7.</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.l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b w:val="0"/>
          <w:bCs w:val="0"/>
          <w:color w:val="auto"/>
          <w:sz w:val="30"/>
          <w:szCs w:val="30"/>
          <w:highlight w:val="none"/>
        </w:rPr>
        <w:t xml:space="preserve">七、授予合同</w:t>
      </w:r>
      <w:bookmarkEnd w:id="176"/>
      <w:r/>
      <w:bookmarkEnd w:id="177"/>
      <w:r/>
      <w:bookmarkEnd w:id="178"/>
      <w:r/>
      <w:bookmarkEnd w:id="179"/>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80" w:name="_Toc16938553"/>
      <w:r/>
      <w:bookmarkStart w:id="181" w:name="_Toc513029237"/>
      <w:r/>
      <w:bookmarkStart w:id="182" w:name="_Toc20823309"/>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8.</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.l</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.4 中标人因自身原因拒绝与采购人签订合同的，不得参加采购人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29.</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eastAsia="zh-CN"/>
        </w:rPr>
        <w:t xml:space="preserve">10%。</w:t>
      </w:r>
      <w:bookmarkEnd w:id="180"/>
      <w:r/>
      <w:bookmarkEnd w:id="181"/>
      <w:r/>
      <w:bookmarkEnd w:id="182"/>
      <w:r/>
      <w:r/>
    </w:p>
    <w:p>
      <w:pPr>
        <w:pStyle w:val="692"/>
        <w:ind w:firstLine="39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30.</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30.1 </w:t>
      </w:r>
      <w:r>
        <w:rPr>
          <w:rFonts w:hint="eastAsia" w:ascii="宋体" w:hAnsi="宋体" w:eastAsia="宋体" w:cs="Times New Roman"/>
          <w:color w:val="auto"/>
          <w:sz w:val="24"/>
          <w:highlight w:val="none"/>
          <w:lang w:val="zh-CN" w:eastAsia="zh-CN"/>
        </w:rPr>
        <w:t xml:space="preserve">中标</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eastAsia="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eastAsia="zh-CN"/>
        </w:rPr>
        <w:t xml:space="preserve">网站“小企业融资平台”，</w:t>
      </w:r>
      <w:r>
        <w:rPr>
          <w:rFonts w:hint="eastAsia" w:ascii="宋体" w:hAnsi="宋体" w:eastAsia="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eastAsia="zh-CN"/>
        </w:rPr>
        <w:t xml:space="preserve">办理融资贷款。</w:t>
      </w:r>
      <w:r/>
    </w:p>
    <w:p>
      <w:pPr>
        <w:ind w:firstLine="420"/>
        <w:pageBreakBefore w:val="0"/>
        <w:spacing w:line="240" w:lineRule="auto"/>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w:t>
      </w:r>
      <w:r>
        <w:rPr>
          <w:rFonts w:hint="eastAsia" w:ascii="宋体" w:hAnsi="宋体" w:eastAsia="宋体" w:cs="Times New Roman"/>
          <w:color w:val="auto"/>
          <w:sz w:val="24"/>
          <w:highlight w:val="none"/>
          <w:lang w:val="zh-CN" w:eastAsia="zh-CN"/>
        </w:rPr>
        <w:t xml:space="preserve">中标</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highlight w:val="none"/>
          <w:lang w:val="zh-CN"/>
        </w:rPr>
      </w:pPr>
      <w:r>
        <w:rPr>
          <w:rFonts w:hint="eastAsia" w:ascii="宋体" w:hAnsi="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供应商（含潜在供应商）对采购方式、采购需求、供应商资格条件、评标方法和评标标准、合同文本的</w:t>
      </w:r>
      <w:r>
        <w:rPr>
          <w:rFonts w:hint="eastAsia" w:ascii="宋体" w:hAnsi="宋体" w:eastAsia="宋体" w:cs="Times New Roman"/>
          <w:b/>
          <w:bCs/>
          <w:color w:val="auto"/>
          <w:sz w:val="24"/>
          <w:highlight w:val="none"/>
          <w:lang w:val="en-US" w:eastAsia="zh-CN"/>
        </w:rPr>
        <w:t xml:space="preserve">询问或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val="0"/>
          <w:bCs w:val="0"/>
          <w:color w:val="auto"/>
          <w:sz w:val="24"/>
          <w:highlight w:val="none"/>
          <w:lang w:val="zh-CN"/>
        </w:rPr>
        <w:t xml:space="preserve">供应商对</w:t>
      </w:r>
      <w:r>
        <w:rPr>
          <w:rFonts w:hint="eastAsia" w:ascii="宋体" w:hAnsi="宋体" w:eastAsia="宋体" w:cs="Times New Roman"/>
          <w:b w:val="0"/>
          <w:bCs w:val="0"/>
          <w:color w:val="auto"/>
          <w:sz w:val="24"/>
          <w:highlight w:val="none"/>
          <w:lang w:val="en-US" w:eastAsia="zh-CN"/>
        </w:rPr>
        <w:t xml:space="preserve">采购过程、采购结果</w:t>
      </w:r>
      <w:r>
        <w:rPr>
          <w:rFonts w:hint="eastAsia" w:ascii="宋体" w:hAnsi="宋体" w:eastAsia="宋体" w:cs="Times New Roman"/>
          <w:b w:val="0"/>
          <w:bCs w:val="0"/>
          <w:color w:val="auto"/>
          <w:sz w:val="24"/>
          <w:highlight w:val="none"/>
          <w:lang w:val="zh-CN"/>
        </w:rPr>
        <w:t xml:space="preserve">的询问</w:t>
      </w:r>
      <w:r>
        <w:rPr>
          <w:rFonts w:hint="eastAsia" w:ascii="宋体" w:hAnsi="宋体" w:eastAsia="宋体" w:cs="Times New Roman"/>
          <w:b w:val="0"/>
          <w:bCs w:val="0"/>
          <w:color w:val="auto"/>
          <w:sz w:val="24"/>
          <w:highlight w:val="none"/>
          <w:lang w:val="en-US" w:eastAsia="zh-CN"/>
        </w:rPr>
        <w:t xml:space="preserve">或</w:t>
      </w:r>
      <w:r>
        <w:rPr>
          <w:rFonts w:hint="eastAsia" w:ascii="宋体" w:hAnsi="宋体" w:eastAsia="宋体" w:cs="Times New Roman"/>
          <w:b w:val="0"/>
          <w:bCs w:val="0"/>
          <w:color w:val="auto"/>
          <w:sz w:val="24"/>
          <w:highlight w:val="none"/>
          <w:lang w:val="zh-CN"/>
        </w:rPr>
        <w:t xml:space="preserve">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采购人《质疑函》接收人及联系方式见</w:t>
      </w:r>
      <w:r>
        <w:rPr>
          <w:rFonts w:hint="eastAsia" w:ascii="宋体" w:hAnsi="宋体" w:eastAsia="宋体" w:cs="Times New Roman"/>
          <w:b/>
          <w:bCs/>
          <w:color w:val="auto"/>
          <w:sz w:val="24"/>
          <w:highlight w:val="none"/>
          <w:lang w:val="en-US" w:eastAsia="zh-CN"/>
        </w:rPr>
        <w:t xml:space="preserve">招标</w:t>
      </w:r>
      <w:r>
        <w:rPr>
          <w:rFonts w:hint="eastAsia" w:ascii="宋体" w:hAnsi="宋体" w:eastAsia="宋体" w:cs="Times New Roman"/>
          <w:b/>
          <w:bCs/>
          <w:color w:val="auto"/>
          <w:sz w:val="24"/>
          <w:highlight w:val="none"/>
          <w:lang w:val="zh-CN"/>
        </w:rPr>
        <w:t xml:space="preserve">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b w:val="0"/>
          <w:bCs w:val="0"/>
          <w:color w:val="auto"/>
          <w:sz w:val="24"/>
          <w:highlight w:val="none"/>
          <w:lang w:val="zh-CN"/>
        </w:rPr>
        <w:t xml:space="preserve">交易中心《质疑函》接收部门为政府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zh-CN"/>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zh-CN"/>
        </w:rPr>
        <w:t xml:space="preserve">。收件人：南京市公共资源交易中心政府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zh-CN"/>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zh-CN"/>
        </w:rPr>
        <w:t xml:space="preserve">，地址：南京市江东中路265号南京市公共资源交易中心北门，联系电话：025-68505926。</w:t>
      </w:r>
      <w:r>
        <w:rPr>
          <w:rFonts w:hint="eastAsia" w:ascii="宋体" w:hAnsi="宋体" w:eastAsia="宋体" w:cs="Times New Roman"/>
          <w:color w:val="auto"/>
          <w:sz w:val="24"/>
          <w:highlight w:val="none"/>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6.5 供应商组成联合体参加采购活动，联合体中任何一方或多方未按要求签字</w:t>
      </w:r>
      <w:r>
        <w:rPr>
          <w:rFonts w:hint="eastAsia" w:ascii="宋体" w:hAnsi="宋体" w:eastAsia="宋体" w:cs="Times New Roman"/>
          <w:color w:val="auto"/>
          <w:sz w:val="24"/>
          <w:highlight w:val="none"/>
          <w:lang w:val="en-US" w:eastAsia="zh-CN"/>
        </w:rPr>
        <w:t xml:space="preserve">或签章</w:t>
      </w:r>
      <w:r>
        <w:rPr>
          <w:rFonts w:hint="eastAsia" w:ascii="宋体" w:hAnsi="宋体" w:eastAsia="宋体" w:cs="Times New Roman"/>
          <w:color w:val="auto"/>
          <w:sz w:val="24"/>
          <w:highlight w:val="none"/>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92"/>
        <w:ind w:firstLine="420"/>
        <w:pageBreakBefore w:val="0"/>
        <w:spacing w:before="0" w:after="0" w:line="240" w:lineRule="auto"/>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本项目中的</w:t>
      </w:r>
      <w:r>
        <w:rPr>
          <w:rFonts w:hint="eastAsia" w:ascii="宋体" w:hAnsi="宋体" w:eastAsia="宋体" w:cs="Times New Roman"/>
          <w:color w:val="auto"/>
          <w:sz w:val="24"/>
          <w:highlight w:val="none"/>
          <w:lang w:val="zh-CN"/>
        </w:rPr>
        <w:t xml:space="preserve">货物</w:t>
      </w:r>
      <w:r>
        <w:rPr>
          <w:rFonts w:hint="eastAsia" w:ascii="宋体" w:hAnsi="宋体" w:eastAsia="宋体" w:cs="Times New Roman"/>
          <w:color w:val="auto"/>
          <w:sz w:val="24"/>
          <w:highlight w:val="none"/>
          <w:lang w:val="en-US" w:eastAsia="zh-CN"/>
        </w:rPr>
        <w:t xml:space="preserve">全部</w:t>
      </w:r>
      <w:r>
        <w:rPr>
          <w:rFonts w:hint="eastAsia" w:ascii="宋体" w:hAnsi="宋体" w:eastAsia="宋体" w:cs="Times New Roman"/>
          <w:color w:val="auto"/>
          <w:sz w:val="24"/>
          <w:highlight w:val="none"/>
          <w:lang w:val="zh-CN"/>
        </w:rPr>
        <w:t xml:space="preserve">由中小企业制造的，</w:t>
      </w:r>
      <w:r>
        <w:rPr>
          <w:rFonts w:hint="eastAsia" w:ascii="宋体" w:hAnsi="宋体" w:eastAsia="宋体" w:cs="Times New Roman"/>
          <w:color w:val="auto"/>
          <w:sz w:val="24"/>
          <w:highlight w:val="none"/>
          <w:lang w:val="en-US" w:eastAsia="zh-CN"/>
        </w:rPr>
        <w:t xml:space="preserve">投标供应商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692"/>
        <w:ind w:firstLine="420"/>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39.3 采购产品</w:t>
      </w:r>
      <w:r>
        <w:rPr>
          <w:rFonts w:hint="eastAsia" w:ascii="宋体" w:hAnsi="宋体" w:eastAsia="宋体" w:cs="Times New Roman"/>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en-US" w:eastAsia="zh-CN"/>
        </w:rPr>
        <w:t xml:space="preserve">第五章评标方法与评标标准</w:t>
      </w:r>
      <w:r>
        <w:rPr>
          <w:rFonts w:hint="eastAsia" w:ascii="宋体" w:hAnsi="宋体" w:eastAsia="宋体" w:cs="Times New Roman"/>
          <w:color w:val="auto"/>
          <w:sz w:val="24"/>
          <w:highlight w:val="none"/>
          <w:lang w:val="zh-CN"/>
        </w:rPr>
        <w:t xml:space="preserve">）。</w:t>
      </w:r>
      <w:r/>
    </w:p>
    <w:p>
      <w:pPr>
        <w:pStyle w:val="692"/>
        <w:ind w:firstLine="420"/>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40</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color w:val="auto"/>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文件执行。采购文件对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692"/>
        <w:ind w:firstLine="420"/>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41.1 优先采购各级政府部门公开发布的有效期内的创新产品、首台套等《目录》内的创新产品。创新产品自进入《目录》起2年内视同具备相应销售业绩。</w:t>
      </w:r>
      <w:r/>
    </w:p>
    <w:p>
      <w:pPr>
        <w:pStyle w:val="692"/>
        <w:ind w:firstLine="420"/>
        <w:pageBreakBefore w:val="0"/>
        <w:spacing w:before="0" w:after="0" w:line="240" w:lineRule="auto"/>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42.</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rPr>
          <w:rFonts w:hint="eastAsia" w:ascii="黑体" w:eastAsia="黑体"/>
          <w:color w:val="auto"/>
          <w:sz w:val="36"/>
          <w:szCs w:val="44"/>
          <w:highlight w:val="none"/>
        </w:rPr>
      </w:pPr>
      <w:r>
        <w:rPr>
          <w:rFonts w:hint="eastAsia" w:ascii="黑体" w:eastAsia="黑体"/>
          <w:color w:val="auto"/>
          <w:sz w:val="36"/>
          <w:szCs w:val="44"/>
          <w:highlight w:val="none"/>
        </w:rPr>
        <w:br w:type="page" w:clear="all"/>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auto"/>
          <w:sz w:val="36"/>
          <w:szCs w:val="36"/>
          <w:highlight w:val="none"/>
        </w:rPr>
        <w:t xml:space="preserve">文本</w:t>
      </w:r>
      <w:r/>
    </w:p>
    <w:p>
      <w:pPr>
        <w:ind w:firstLine="480"/>
        <w:spacing w:line="264" w:lineRule="auto"/>
        <w:rPr>
          <w:rFonts w:hint="eastAsia" w:ascii="宋体" w:hAnsi="宋体"/>
          <w:bCs/>
          <w:color w:val="auto"/>
          <w:sz w:val="24"/>
          <w:szCs w:val="21"/>
          <w:highlight w:val="none"/>
        </w:rPr>
      </w:pPr>
      <w:r/>
      <w:bookmarkStart w:id="183" w:name="_Toc16938559"/>
      <w:r/>
      <w:bookmarkStart w:id="184" w:name="_Toc20823315"/>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auto"/>
          <w:sz w:val="24"/>
          <w:szCs w:val="21"/>
          <w:highlight w:val="none"/>
        </w:rPr>
        <w:t xml:space="preserve">以下为本项目的合同条款，合同双方不得对招标、投标文件内容作实质性修改。</w:t>
      </w:r>
      <w:r/>
    </w:p>
    <w:p>
      <w:pPr>
        <w:rPr>
          <w:rFonts w:hint="eastAsia"/>
          <w:color w:val="auto"/>
          <w:highlight w:val="none"/>
        </w:rPr>
      </w:pPr>
      <w:r>
        <w:rPr>
          <w:rFonts w:hint="eastAsia"/>
          <w:color w:val="auto"/>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709"/>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color w:val="auto"/>
          <w:sz w:val="24"/>
          <w:szCs w:val="24"/>
          <w:highlight w:val="none"/>
          <w:u w:val="single"/>
        </w:rPr>
        <w:t xml:space="preserve">10</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17"/>
        <w:spacing w:line="264" w:lineRule="auto"/>
        <w:rPr>
          <w:rFonts w:hint="eastAsia" w:hAnsi="宋体"/>
          <w:color w:val="auto"/>
          <w:sz w:val="24"/>
          <w:szCs w:val="24"/>
          <w:highlight w:val="none"/>
        </w:rPr>
      </w:pPr>
      <w:r>
        <w:rPr>
          <w:rFonts w:hint="eastAsia" w:hAnsi="宋体"/>
          <w:color w:val="auto"/>
          <w:sz w:val="24"/>
          <w:szCs w:val="24"/>
          <w:highlight w:val="none"/>
        </w:rPr>
        <w:t xml:space="preserve">8.1 合同款项的支付方式及时间</w:t>
      </w:r>
      <w:r/>
    </w:p>
    <w:p>
      <w:pPr>
        <w:pStyle w:val="917"/>
        <w:spacing w:line="264" w:lineRule="auto"/>
        <w:rPr>
          <w:rFonts w:hint="eastAsia" w:hAnsi="宋体"/>
          <w:color w:val="auto"/>
          <w:sz w:val="24"/>
          <w:szCs w:val="24"/>
          <w:highlight w:val="none"/>
        </w:rPr>
      </w:pPr>
      <w:r>
        <w:rPr>
          <w:rFonts w:hint="eastAsia" w:hAnsi="宋体"/>
          <w:color w:val="auto"/>
          <w:sz w:val="24"/>
          <w:szCs w:val="24"/>
          <w:highlight w:val="none"/>
        </w:rPr>
        <w:t xml:space="preserve">8.1.1 合同签订后，甲方支付合同总价款的30%作为预付款。</w:t>
      </w:r>
      <w:r/>
    </w:p>
    <w:p>
      <w:pPr>
        <w:pStyle w:val="917"/>
        <w:spacing w:line="264" w:lineRule="auto"/>
        <w:rPr>
          <w:rFonts w:hint="eastAsia" w:hAnsi="宋体"/>
          <w:color w:val="auto"/>
          <w:sz w:val="24"/>
          <w:szCs w:val="24"/>
          <w:highlight w:val="none"/>
        </w:rPr>
      </w:pPr>
      <w:r>
        <w:rPr>
          <w:rFonts w:hint="eastAsia" w:hAnsi="宋体"/>
          <w:color w:val="auto"/>
          <w:sz w:val="24"/>
          <w:szCs w:val="24"/>
          <w:highlight w:val="none"/>
        </w:rPr>
        <w:t xml:space="preserve">8.1.2 货物全部到场后，甲方支付合同总价款的30%作为到货款</w:t>
      </w:r>
      <w:r/>
    </w:p>
    <w:p>
      <w:pPr>
        <w:pStyle w:val="917"/>
        <w:spacing w:line="264" w:lineRule="auto"/>
        <w:rPr>
          <w:rFonts w:hint="eastAsia" w:hAnsi="宋体"/>
          <w:color w:val="auto"/>
          <w:sz w:val="24"/>
          <w:szCs w:val="24"/>
          <w:highlight w:val="none"/>
        </w:rPr>
      </w:pPr>
      <w:r>
        <w:rPr>
          <w:rFonts w:hint="eastAsia" w:hAnsi="宋体"/>
          <w:color w:val="auto"/>
          <w:sz w:val="24"/>
          <w:szCs w:val="24"/>
          <w:highlight w:val="none"/>
        </w:rPr>
        <w:t xml:space="preserve">8.1.3 供货结束并验收合格后，甲方支付合同总价款的40%作为验收款。</w:t>
      </w:r>
      <w:r/>
    </w:p>
    <w:p>
      <w:pPr>
        <w:pStyle w:val="917"/>
        <w:spacing w:line="264" w:lineRule="auto"/>
        <w:rPr>
          <w:rFonts w:hint="eastAsia" w:hAnsi="宋体"/>
          <w:color w:val="auto"/>
          <w:sz w:val="24"/>
          <w:szCs w:val="24"/>
          <w:highlight w:val="none"/>
        </w:rPr>
      </w:pPr>
      <w:r>
        <w:rPr>
          <w:rFonts w:hint="eastAsia" w:hAnsi="宋体"/>
          <w:color w:val="auto"/>
          <w:sz w:val="24"/>
          <w:szCs w:val="24"/>
          <w:highlight w:val="none"/>
        </w:rPr>
        <w:t xml:space="preserve">8.1.4 满足合同约定支付条件的，甲方收到乙方发票后10个工作日内，将资金支付到合同约定的乙方账户。 </w:t>
      </w:r>
      <w:r/>
    </w:p>
    <w:p>
      <w:pPr>
        <w:pStyle w:val="709"/>
        <w:keepLines w:val="0"/>
        <w:keepNext w:val="0"/>
        <w:pageBreakBefore w:val="0"/>
        <w:spacing w:before="0" w:after="0" w:line="264" w:lineRule="auto"/>
        <w:widowControl w:val="off"/>
        <w:rPr>
          <w:rFonts w:hint="eastAsia" w:hAnsi="宋体"/>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917"/>
        <w:spacing w:line="264" w:lineRule="auto"/>
        <w:rPr>
          <w:rFonts w:hint="eastAsia"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50%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1‰</w:t>
      </w:r>
      <w:r>
        <w:rPr>
          <w:rFonts w:hint="eastAsia" w:ascii="宋体" w:hAnsi="宋体" w:cs="Courier New"/>
          <w:color w:val="auto"/>
          <w:sz w:val="24"/>
          <w:szCs w:val="24"/>
          <w:highlight w:val="none"/>
        </w:rPr>
        <w:t xml:space="preserve">向乙方支付违约金。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1‰ </w:t>
      </w:r>
      <w:r>
        <w:rPr>
          <w:rFonts w:hint="eastAsia" w:ascii="宋体" w:hAnsi="宋体" w:cs="Courier New"/>
          <w:color w:val="auto"/>
          <w:sz w:val="24"/>
          <w:szCs w:val="24"/>
          <w:highlight w:val="none"/>
        </w:rPr>
        <w:t xml:space="preserve">向甲方支付违约金，由甲方从待付货款中扣除。逾期超过约定日期30个工作日不能交货的，甲方可解除本合同。乙方因逾期交货或因其他违约行为导致甲方解除合同的，应向甲方支付合同总价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 15% </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本合同正本一式五份，具有同等法律效力，甲方执三份、乙方执二份。</w:t>
      </w:r>
      <w:bookmarkEnd w:id="183"/>
      <w:r/>
      <w:bookmarkEnd w:id="184"/>
      <w:r/>
      <w:bookmarkEnd w:id="185"/>
      <w:r/>
      <w:r/>
    </w:p>
    <w:p>
      <w:pPr>
        <w:pStyle w:val="917"/>
        <w:spacing w:before="120" w:after="120" w:line="264" w:lineRule="auto"/>
        <w:rPr>
          <w:rFonts w:hint="eastAsia" w:hAnsi="宋体"/>
          <w:color w:val="auto"/>
          <w:sz w:val="24"/>
          <w:szCs w:val="24"/>
          <w:highlight w:val="none"/>
        </w:rPr>
      </w:pPr>
      <w:r/>
      <w:bookmarkStart w:id="192" w:name="_Hlt16619369"/>
      <w:r/>
      <w:bookmarkEnd w:id="192"/>
      <w:r>
        <w:rPr>
          <w:rFonts w:hint="eastAsia" w:hAnsi="宋体"/>
          <w:color w:val="auto"/>
          <w:sz w:val="24"/>
          <w:szCs w:val="24"/>
          <w:highlight w:val="none"/>
        </w:rPr>
        <w:t xml:space="preserve">  </w:t>
      </w:r>
      <w:r/>
    </w:p>
    <w:p>
      <w:pPr>
        <w:pStyle w:val="917"/>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甲  方：（公章）                       乙  方：（公章） </w:t>
      </w:r>
      <w:r/>
    </w:p>
    <w:p>
      <w:pPr>
        <w:pStyle w:val="917"/>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地  址：                               地  址： </w:t>
      </w:r>
      <w:r/>
    </w:p>
    <w:p>
      <w:pPr>
        <w:pStyle w:val="917"/>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917"/>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917"/>
        <w:spacing w:before="120" w:after="120" w:line="264" w:lineRule="auto"/>
        <w:rPr>
          <w:rFonts w:hint="eastAsia" w:hAnsi="宋体"/>
          <w:color w:val="auto"/>
          <w:sz w:val="24"/>
          <w:szCs w:val="24"/>
          <w:highlight w:val="none"/>
        </w:rPr>
      </w:pPr>
      <w:r>
        <w:rPr>
          <w:rFonts w:hint="eastAsia" w:hAnsi="宋体"/>
          <w:color w:val="auto"/>
          <w:sz w:val="24"/>
          <w:szCs w:val="24"/>
          <w:highlight w:val="none"/>
        </w:rPr>
        <w:t xml:space="preserve">                                          </w:t>
      </w:r>
      <w:r/>
    </w:p>
    <w:p>
      <w:pPr>
        <w:pStyle w:val="917"/>
        <w:ind w:firstLine="4800"/>
        <w:spacing w:before="120" w:after="120" w:line="264" w:lineRule="auto"/>
        <w:rPr>
          <w:rFonts w:hAnsi="宋体"/>
          <w:color w:val="auto"/>
          <w:sz w:val="24"/>
          <w:szCs w:val="24"/>
          <w:highlight w:val="none"/>
        </w:rPr>
      </w:pPr>
      <w:r>
        <w:rPr>
          <w:rFonts w:hint="eastAsia" w:hAnsi="宋体"/>
          <w:color w:val="auto"/>
          <w:sz w:val="24"/>
          <w:szCs w:val="24"/>
          <w:highlight w:val="none"/>
        </w:rPr>
        <w:t xml:space="preserve">签订日期：      </w:t>
      </w:r>
      <w:r/>
    </w:p>
    <w:p>
      <w:pPr>
        <w:pStyle w:val="917"/>
        <w:ind w:firstLine="4800"/>
        <w:spacing w:before="120" w:after="120" w:line="264" w:lineRule="auto"/>
        <w:rPr>
          <w:rFonts w:hAnsi="宋体"/>
          <w:color w:val="auto"/>
          <w:sz w:val="24"/>
          <w:szCs w:val="24"/>
          <w:highlight w:val="none"/>
        </w:rPr>
      </w:pPr>
      <w:r>
        <w:rPr>
          <w:rFonts w:hAnsi="宋体"/>
          <w:color w:val="auto"/>
          <w:sz w:val="24"/>
          <w:szCs w:val="24"/>
          <w:highlight w:val="none"/>
        </w:rPr>
      </w:r>
      <w:r/>
    </w:p>
    <w:p>
      <w:pPr>
        <w:pStyle w:val="917"/>
        <w:ind w:firstLine="4800"/>
        <w:spacing w:before="120" w:after="120" w:line="264" w:lineRule="auto"/>
        <w:rPr>
          <w:rFonts w:hAnsi="宋体"/>
          <w:color w:val="auto"/>
          <w:sz w:val="24"/>
          <w:szCs w:val="24"/>
          <w:highlight w:val="none"/>
        </w:rPr>
      </w:pPr>
      <w:r>
        <w:rPr>
          <w:rFonts w:hAnsi="宋体"/>
          <w:color w:val="auto"/>
          <w:sz w:val="24"/>
          <w:szCs w:val="24"/>
          <w:highlight w:val="none"/>
        </w:rPr>
      </w:r>
      <w:r/>
    </w:p>
    <w:p>
      <w:pPr>
        <w:pStyle w:val="917"/>
        <w:ind w:firstLine="4800"/>
        <w:spacing w:before="120" w:after="120" w:line="264" w:lineRule="auto"/>
        <w:rPr>
          <w:rFonts w:hAnsi="宋体"/>
          <w:color w:val="auto"/>
          <w:sz w:val="24"/>
          <w:szCs w:val="24"/>
          <w:highlight w:val="none"/>
        </w:rPr>
      </w:pPr>
      <w:r>
        <w:rPr>
          <w:rFonts w:hAnsi="宋体"/>
          <w:color w:val="auto"/>
          <w:sz w:val="24"/>
          <w:szCs w:val="24"/>
          <w:highlight w:val="none"/>
        </w:rPr>
      </w:r>
      <w:r/>
    </w:p>
    <w:p>
      <w:pPr>
        <w:pStyle w:val="917"/>
        <w:ind w:firstLine="4800"/>
        <w:spacing w:before="120" w:after="120" w:line="264" w:lineRule="auto"/>
        <w:rPr>
          <w:rFonts w:hAnsi="宋体"/>
          <w:color w:val="auto"/>
          <w:sz w:val="24"/>
          <w:szCs w:val="24"/>
          <w:highlight w:val="none"/>
        </w:rPr>
      </w:pPr>
      <w:r>
        <w:rPr>
          <w:rFonts w:hAnsi="宋体"/>
          <w:color w:val="auto"/>
          <w:sz w:val="24"/>
          <w:szCs w:val="24"/>
          <w:highlight w:val="none"/>
        </w:rPr>
      </w:r>
      <w:r/>
    </w:p>
    <w:p>
      <w:pPr>
        <w:pStyle w:val="882"/>
        <w:jc w:val="center"/>
        <w:rPr>
          <w:rFonts w:hint="eastAsia"/>
          <w:color w:val="auto"/>
          <w:highlight w:val="none"/>
        </w:rPr>
      </w:pPr>
      <w:r>
        <w:rPr>
          <w:rFonts w:hint="eastAsia"/>
          <w:color w:val="auto"/>
          <w:highlight w:val="none"/>
        </w:rPr>
        <w:t xml:space="preserve">《*******合同》补充协议（合同附件）</w:t>
      </w:r>
      <w:r/>
    </w:p>
    <w:p>
      <w:pPr>
        <w:pStyle w:val="917"/>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黑体" w:hAnsi="方正小标宋简体" w:eastAsia="黑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第四章</w:t>
      </w:r>
      <w:bookmarkEnd w:id="186"/>
      <w:r>
        <w:rPr>
          <w:rFonts w:hint="eastAsia" w:ascii="方正小标宋简体" w:hAnsi="方正小标宋简体" w:eastAsia="方正小标宋简体" w:cs="方正小标宋简体"/>
          <w:color w:val="auto"/>
          <w:sz w:val="36"/>
          <w:szCs w:val="36"/>
          <w:highlight w:val="none"/>
        </w:rPr>
        <w:t xml:space="preserve"> 采购需求</w:t>
      </w:r>
      <w:bookmarkEnd w:id="187"/>
      <w:r/>
      <w:bookmarkEnd w:id="188"/>
      <w:r/>
      <w:bookmarkEnd w:id="189"/>
      <w:r/>
      <w:r/>
    </w:p>
    <w:p>
      <w:pPr>
        <w:ind w:firstLine="480"/>
        <w:spacing w:line="264" w:lineRule="auto"/>
        <w:rPr>
          <w:rFonts w:hint="eastAsia" w:ascii="黑体" w:hAnsi="黑体" w:eastAsia="黑体" w:cs="黑体"/>
          <w:color w:val="auto"/>
          <w:sz w:val="24"/>
          <w:szCs w:val="24"/>
          <w:highlight w:val="none"/>
        </w:rPr>
      </w:pPr>
      <w:r/>
      <w:bookmarkStart w:id="193" w:name="_Toc26554093"/>
      <w:r/>
      <w:bookmarkStart w:id="194" w:name="_Toc49090575"/>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jc w:val="left"/>
        <w:spacing w:line="288" w:lineRule="auto"/>
        <w:rPr>
          <w:rFonts w:hint="eastAsia" w:ascii="宋体" w:hAnsi="宋体"/>
          <w:color w:val="auto"/>
          <w:sz w:val="24"/>
          <w:szCs w:val="24"/>
          <w:highlight w:val="none"/>
        </w:rPr>
      </w:pPr>
      <w:r>
        <w:rPr>
          <w:rFonts w:hint="eastAsia" w:ascii="宋体" w:hAnsi="宋体"/>
          <w:color w:val="auto"/>
          <w:sz w:val="24"/>
          <w:szCs w:val="24"/>
          <w:highlight w:val="none"/>
        </w:rPr>
        <w:t xml:space="preserve">满足当前业界对于通感双站测试的要求，系统建成后能满足实验室在学术研究方面的创新应用，承接工业界的产品测试服务。</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（1）《电磁屏蔽室屏蔽效能的测量方法》GB 12190-2006；</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（2）《微波暗室性能测试方法》GJB 6780-2009；</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（3）《塑料燃烧性能试验方法氧指数法》GB/T2406-93；     </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（4）《微波暗室性能测试方法》GJB6780-2009；    </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（5）《射频吸波材料吸波性能测试方法》GJB5239-2004。    </w:t>
      </w:r>
      <w:r/>
    </w:p>
    <w:p>
      <w:pPr>
        <w:ind w:firstLine="480"/>
        <w:spacing w:line="264" w:lineRule="auto"/>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 xml:space="preserve">三、项目清单</w:t>
      </w:r>
      <w:r/>
    </w:p>
    <w:tbl>
      <w:tblPr>
        <w:tblStyle w:val="699"/>
        <w:tblW w:w="5040" w:type="pct"/>
        <w:tblInd w:w="-8"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60"/>
        <w:gridCol w:w="1687"/>
        <w:gridCol w:w="669"/>
        <w:gridCol w:w="723"/>
        <w:gridCol w:w="1790"/>
        <w:gridCol w:w="1014"/>
        <w:gridCol w:w="1271"/>
        <w:gridCol w:w="719"/>
        <w:gridCol w:w="1407"/>
      </w:tblGrid>
      <w:tr>
        <w:trPr>
          <w:trHeight w:val="470"/>
        </w:trPr>
        <w:tc>
          <w:tcPr>
            <w:tcW w:w="30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91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分项名称</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653"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单价上限（元）</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所属行业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属性</w:t>
            </w:r>
            <w:r/>
          </w:p>
        </w:tc>
        <w:tc>
          <w:tcPr>
            <w:tcW w:w="759" w:type="dxa"/>
            <w:vAlign w:val="center"/>
            <w:textDirection w:val="lrTb"/>
            <w:noWrap w:val="false"/>
          </w:tcPr>
          <w:p>
            <w:pPr>
              <w:jc w:val="center"/>
              <w:spacing w:line="288"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政府强制采购节能产品</w:t>
            </w:r>
            <w:r/>
          </w:p>
        </w:tc>
      </w:tr>
      <w:tr>
        <w:trPr>
          <w:trHeight w:val="414"/>
        </w:trPr>
        <w:tc>
          <w:tcPr>
            <w:tcW w:w="30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910" w:type="dxa"/>
            <w:vAlign w:val="center"/>
            <w:textDirection w:val="lrTb"/>
            <w:noWrap w:val="false"/>
          </w:tcPr>
          <w:p>
            <w:pPr>
              <w:spacing w:line="264" w:lineRule="auto"/>
              <w:rPr>
                <w:rFonts w:hint="eastAsia" w:ascii="宋体" w:hAnsi="宋体" w:cs="宋体"/>
                <w:bCs/>
                <w:color w:val="auto"/>
                <w:sz w:val="24"/>
                <w:szCs w:val="24"/>
                <w:highlight w:val="none"/>
              </w:rPr>
            </w:pPr>
            <w:r>
              <w:rPr>
                <w:rStyle w:val="1001"/>
                <w:color w:val="auto"/>
                <w:highlight w:val="none"/>
                <w:lang w:bidi="ar"/>
              </w:rPr>
              <w:t xml:space="preserve">微波屏蔽暗室</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400</w:t>
            </w:r>
            <w:r>
              <w:rPr>
                <w:rFonts w:hint="eastAsia" w:ascii="宋体" w:hAnsi="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910" w:type="dxa"/>
            <w:vAlign w:val="center"/>
            <w:textDirection w:val="lrTb"/>
            <w:noWrap w:val="false"/>
          </w:tcPr>
          <w:p>
            <w:pPr>
              <w:spacing w:line="264" w:lineRule="auto"/>
              <w:rPr>
                <w:rStyle w:val="1001"/>
                <w:color w:val="auto"/>
                <w:highlight w:val="none"/>
                <w:lang w:bidi="ar"/>
              </w:rPr>
            </w:pPr>
            <w:r>
              <w:rPr>
                <w:rStyle w:val="1001"/>
                <w:color w:val="auto"/>
                <w:highlight w:val="none"/>
                <w:lang w:bidi="ar"/>
              </w:rPr>
              <w:t xml:space="preserve">紧缩场测试系统</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1180</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核心产品</w:t>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910" w:type="dxa"/>
            <w:vAlign w:val="center"/>
            <w:textDirection w:val="lrTb"/>
            <w:noWrap w:val="false"/>
          </w:tcPr>
          <w:p>
            <w:pPr>
              <w:spacing w:line="264" w:lineRule="auto"/>
              <w:rPr>
                <w:rFonts w:hint="eastAsia" w:ascii="宋体" w:hAnsi="宋体" w:cs="宋体"/>
                <w:bCs/>
                <w:color w:val="auto"/>
                <w:sz w:val="24"/>
                <w:szCs w:val="24"/>
                <w:highlight w:val="none"/>
              </w:rPr>
            </w:pPr>
            <w:r>
              <w:rPr>
                <w:rStyle w:val="1001"/>
                <w:color w:val="auto"/>
                <w:highlight w:val="none"/>
                <w:lang w:bidi="ar"/>
              </w:rPr>
              <w:t xml:space="preserve">转台</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138</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910" w:type="dxa"/>
            <w:vAlign w:val="center"/>
            <w:textDirection w:val="lrTb"/>
            <w:noWrap w:val="false"/>
          </w:tcPr>
          <w:p>
            <w:pPr>
              <w:spacing w:line="264" w:lineRule="auto"/>
              <w:rPr>
                <w:rStyle w:val="1001"/>
                <w:color w:val="auto"/>
                <w:highlight w:val="none"/>
                <w:lang w:bidi="ar"/>
              </w:rPr>
            </w:pPr>
            <w:r>
              <w:rPr>
                <w:rStyle w:val="1001"/>
                <w:color w:val="auto"/>
                <w:highlight w:val="none"/>
                <w:lang w:bidi="ar"/>
              </w:rPr>
              <w:t xml:space="preserve">导轨</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212</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910" w:type="dxa"/>
            <w:vAlign w:val="center"/>
            <w:textDirection w:val="lrTb"/>
            <w:noWrap w:val="false"/>
          </w:tcPr>
          <w:p>
            <w:pPr>
              <w:spacing w:line="264" w:lineRule="auto"/>
              <w:rPr>
                <w:rStyle w:val="1001"/>
                <w:color w:val="auto"/>
                <w:highlight w:val="none"/>
                <w:lang w:bidi="ar"/>
              </w:rPr>
            </w:pPr>
            <w:r>
              <w:rPr>
                <w:rStyle w:val="1001"/>
                <w:color w:val="auto"/>
                <w:highlight w:val="none"/>
                <w:lang w:bidi="ar"/>
              </w:rPr>
              <w:t xml:space="preserve">射频子系统</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80</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910" w:type="dxa"/>
            <w:vAlign w:val="center"/>
            <w:textDirection w:val="lrTb"/>
            <w:noWrap w:val="false"/>
          </w:tcPr>
          <w:p>
            <w:pPr>
              <w:spacing w:line="264" w:lineRule="auto"/>
              <w:rPr>
                <w:rFonts w:hint="eastAsia" w:ascii="宋体" w:hAnsi="宋体" w:cs="宋体"/>
                <w:bCs/>
                <w:color w:val="auto"/>
                <w:sz w:val="24"/>
                <w:szCs w:val="24"/>
                <w:highlight w:val="none"/>
              </w:rPr>
            </w:pPr>
            <w:r/>
            <w:bookmarkStart w:id="195" w:name="OLE_LINK2"/>
            <w:r>
              <w:rPr>
                <w:rStyle w:val="1001"/>
                <w:color w:val="auto"/>
                <w:highlight w:val="none"/>
                <w:lang w:bidi="ar"/>
              </w:rPr>
              <w:t xml:space="preserve">RTC实时控制器</w:t>
            </w:r>
            <w:bookmarkEnd w:id="195"/>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W w:w="910" w:type="dxa"/>
            <w:vAlign w:val="center"/>
            <w:textDirection w:val="lrTb"/>
            <w:noWrap w:val="false"/>
          </w:tcPr>
          <w:p>
            <w:pPr>
              <w:spacing w:line="264" w:lineRule="auto"/>
              <w:rPr>
                <w:rFonts w:hint="eastAsia" w:ascii="宋体" w:hAnsi="宋体" w:cs="宋体"/>
                <w:bCs/>
                <w:color w:val="auto"/>
                <w:sz w:val="24"/>
                <w:szCs w:val="24"/>
                <w:highlight w:val="none"/>
              </w:rPr>
            </w:pPr>
            <w:r>
              <w:rPr>
                <w:rStyle w:val="1001"/>
                <w:color w:val="auto"/>
                <w:highlight w:val="none"/>
                <w:lang w:bidi="ar"/>
              </w:rPr>
              <w:t xml:space="preserve">通感一体化测试专用软件</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100</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W w:w="910" w:type="dxa"/>
            <w:vAlign w:val="center"/>
            <w:textDirection w:val="lrTb"/>
            <w:noWrap w:val="false"/>
          </w:tcPr>
          <w:p>
            <w:pPr>
              <w:spacing w:line="264" w:lineRule="auto"/>
              <w:rPr>
                <w:rFonts w:hint="eastAsia" w:ascii="宋体" w:hAnsi="宋体" w:cs="宋体"/>
                <w:bCs/>
                <w:color w:val="auto"/>
                <w:sz w:val="24"/>
                <w:szCs w:val="24"/>
                <w:highlight w:val="none"/>
              </w:rPr>
            </w:pPr>
            <w:r>
              <w:rPr>
                <w:rStyle w:val="1001"/>
                <w:color w:val="auto"/>
                <w:highlight w:val="none"/>
                <w:lang w:bidi="ar"/>
              </w:rPr>
              <w:t xml:space="preserve">通用测试软件</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100</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88"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否</w:t>
            </w:r>
            <w:r/>
          </w:p>
        </w:tc>
      </w:tr>
      <w:tr>
        <w:trPr>
          <w:trHeight w:val="414"/>
        </w:trPr>
        <w:tc>
          <w:tcPr>
            <w:tcW w:w="302" w:type="dxa"/>
            <w:vAlign w:val="center"/>
            <w:textDirection w:val="lrTb"/>
            <w:noWrap w:val="false"/>
          </w:tcPr>
          <w:p>
            <w:pPr>
              <w:jc w:val="cente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910" w:type="dxa"/>
            <w:vAlign w:val="center"/>
            <w:textDirection w:val="lrTb"/>
            <w:noWrap w:val="false"/>
          </w:tcPr>
          <w:p>
            <w:pPr>
              <w:spacing w:line="264" w:lineRule="auto"/>
              <w:rPr>
                <w:rStyle w:val="1001"/>
                <w:color w:val="auto"/>
                <w:highlight w:val="none"/>
              </w:rPr>
            </w:pPr>
            <w:r>
              <w:rPr>
                <w:rStyle w:val="1001"/>
                <w:color w:val="auto"/>
                <w:highlight w:val="none"/>
                <w:lang w:bidi="ar"/>
              </w:rPr>
              <w:t xml:space="preserve">系统附件</w:t>
            </w:r>
            <w:r/>
          </w:p>
        </w:tc>
        <w:tc>
          <w:tcPr>
            <w:tcW w:w="361"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390"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套</w:t>
            </w:r>
            <w:r/>
          </w:p>
        </w:tc>
        <w:tc>
          <w:tcPr>
            <w:tcW w:w="653" w:type="dxa"/>
            <w:vAlign w:val="center"/>
            <w:textDirection w:val="lrTb"/>
            <w:noWrap w:val="false"/>
          </w:tcPr>
          <w:p>
            <w:pPr>
              <w:jc w:val="center"/>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0000</w:t>
            </w:r>
            <w:r/>
          </w:p>
        </w:tc>
        <w:tc>
          <w:tcPr>
            <w:tcW w:w="547"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W w:w="686"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olor w:val="auto"/>
                <w:sz w:val="24"/>
                <w:szCs w:val="24"/>
                <w:highlight w:val="none"/>
              </w:rPr>
              <w:t xml:space="preserve">信息传输业</w:t>
            </w:r>
            <w:r/>
          </w:p>
        </w:tc>
        <w:tc>
          <w:tcPr>
            <w:tcW w:w="388" w:type="dxa"/>
            <w:vAlign w:val="center"/>
            <w:textDirection w:val="lrTb"/>
            <w:noWrap w:val="false"/>
          </w:tcPr>
          <w:p>
            <w:pPr>
              <w:jc w:val="cente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c>
          <w:tcPr>
            <w:tcW w:w="759" w:type="dxa"/>
            <w:vAlign w:val="center"/>
            <w:textDirection w:val="lrTb"/>
            <w:noWrap w:val="false"/>
          </w:tcPr>
          <w:p>
            <w:pPr>
              <w:jc w:val="center"/>
              <w:spacing w:line="288"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否</w:t>
            </w:r>
            <w:r/>
          </w:p>
        </w:tc>
      </w:tr>
    </w:tbl>
    <w:p>
      <w:pPr>
        <w:ind w:firstLine="480"/>
        <w:spacing w:line="264" w:lineRule="auto"/>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spacing w:line="264" w:lineRule="auto"/>
        <w:rPr>
          <w:rFonts w:hint="eastAsia"/>
          <w:color w:val="auto"/>
          <w:highlight w:val="none"/>
        </w:rPr>
      </w:pPr>
      <w:r>
        <w:rPr>
          <w:rFonts w:hint="eastAsia" w:ascii="宋体" w:hAnsi="宋体" w:cs="宋体"/>
          <w:bCs/>
          <w:color w:val="auto"/>
          <w:sz w:val="24"/>
          <w:szCs w:val="24"/>
          <w:highlight w:val="none"/>
        </w:rPr>
        <w:t xml:space="preserve">（一）技术要求</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color w:val="auto"/>
          <w:highlight w:val="none"/>
        </w:rPr>
        <w:t xml:space="preserve"> </w:t>
      </w:r>
      <w:r>
        <w:rPr>
          <w:rFonts w:hint="eastAsia" w:ascii="宋体" w:hAnsi="宋体" w:cs="宋体"/>
          <w:bCs/>
          <w:color w:val="auto"/>
          <w:sz w:val="24"/>
          <w:szCs w:val="24"/>
          <w:highlight w:val="none"/>
        </w:rPr>
        <w:t xml:space="preserve">系统及技术指标要求</w:t>
      </w:r>
      <w:r/>
    </w:p>
    <w:tbl>
      <w:tblPr>
        <w:tblStyle w:val="699"/>
        <w:tblW w:w="9810"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709"/>
        <w:gridCol w:w="709"/>
        <w:gridCol w:w="6945"/>
      </w:tblGrid>
      <w:tr>
        <w:trPr/>
        <w:tc>
          <w:tcPr>
            <w:tcW w:w="1447"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分项名称</w:t>
            </w:r>
            <w:r/>
          </w:p>
        </w:tc>
        <w:tc>
          <w:tcPr>
            <w:gridSpan w:val="2"/>
            <w:tcW w:w="1418" w:type="dxa"/>
            <w:vAlign w:val="top"/>
            <w:textDirection w:val="lrTb"/>
            <w:noWrap w:val="false"/>
          </w:tcPr>
          <w:p>
            <w:pPr>
              <w:jc w:val="center"/>
              <w:rPr>
                <w:color w:val="auto"/>
                <w:szCs w:val="21"/>
                <w:highlight w:val="none"/>
              </w:rPr>
            </w:pPr>
            <w:r>
              <w:rPr>
                <w:color w:val="auto"/>
                <w:szCs w:val="21"/>
                <w:highlight w:val="none"/>
              </w:rPr>
              <w:t xml:space="preserve">序号</w:t>
            </w:r>
            <w:r/>
          </w:p>
        </w:tc>
        <w:tc>
          <w:tcPr>
            <w:tcW w:w="6945" w:type="dxa"/>
            <w:vAlign w:val="top"/>
            <w:textDirection w:val="lrTb"/>
            <w:noWrap w:val="false"/>
          </w:tcPr>
          <w:p>
            <w:pPr>
              <w:jc w:val="center"/>
              <w:rPr>
                <w:color w:val="auto"/>
                <w:szCs w:val="21"/>
                <w:highlight w:val="none"/>
              </w:rPr>
            </w:pPr>
            <w:r>
              <w:rPr>
                <w:color w:val="auto"/>
                <w:szCs w:val="21"/>
                <w:highlight w:val="none"/>
              </w:rPr>
              <w:t xml:space="preserve">技术指标及要求</w:t>
            </w:r>
            <w:r/>
          </w:p>
        </w:tc>
      </w:tr>
      <w:tr>
        <w:trPr/>
        <w:tc>
          <w:tcPr>
            <w:tcW w:w="1447" w:type="dxa"/>
            <w:vAlign w:val="top"/>
            <w:vMerge w:val="restart"/>
            <w:textDirection w:val="lrTb"/>
            <w:noWrap w:val="false"/>
          </w:tcPr>
          <w:p>
            <w:pPr>
              <w:jc w:val="left"/>
              <w:rPr>
                <w:rFonts w:hint="eastAsia"/>
                <w:color w:val="auto"/>
                <w:szCs w:val="21"/>
                <w:highlight w:val="none"/>
              </w:rPr>
            </w:pPr>
            <w:r>
              <w:rPr>
                <w:rFonts w:hint="eastAsia"/>
                <w:color w:val="auto"/>
                <w:szCs w:val="21"/>
                <w:highlight w:val="none"/>
              </w:rPr>
              <w:t xml:space="preserve">1.微波暗室</w:t>
            </w:r>
            <w:r/>
          </w:p>
        </w:tc>
        <w:tc>
          <w:tcPr>
            <w:gridSpan w:val="2"/>
            <w:tcW w:w="1418" w:type="dxa"/>
            <w:vAlign w:val="top"/>
            <w:textDirection w:val="lrTb"/>
            <w:noWrap w:val="false"/>
          </w:tcPr>
          <w:p>
            <w:pPr>
              <w:jc w:val="center"/>
              <w:rPr>
                <w:color w:val="auto"/>
                <w:szCs w:val="21"/>
                <w:highlight w:val="none"/>
              </w:rPr>
            </w:pPr>
            <w:r>
              <w:rPr>
                <w:color w:val="auto"/>
                <w:szCs w:val="21"/>
                <w:highlight w:val="none"/>
              </w:rPr>
              <w:t xml:space="preserve">1.1</w:t>
            </w:r>
            <w:r/>
          </w:p>
        </w:tc>
        <w:tc>
          <w:tcPr>
            <w:tcW w:w="6945" w:type="dxa"/>
            <w:vAlign w:val="top"/>
            <w:textDirection w:val="lrTb"/>
            <w:noWrap w:val="false"/>
          </w:tcPr>
          <w:p>
            <w:pPr>
              <w:rPr>
                <w:color w:val="auto"/>
                <w:szCs w:val="21"/>
                <w:highlight w:val="none"/>
              </w:rPr>
            </w:pPr>
            <w:r>
              <w:rPr>
                <w:color w:val="auto"/>
                <w:szCs w:val="21"/>
                <w:highlight w:val="none"/>
              </w:rPr>
              <w:t xml:space="preserve">工作频率：1GHz～110GHz；</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color w:val="auto"/>
                <w:szCs w:val="21"/>
                <w:highlight w:val="none"/>
              </w:rPr>
            </w:pPr>
            <w:r>
              <w:rPr>
                <w:color w:val="auto"/>
                <w:szCs w:val="21"/>
                <w:highlight w:val="none"/>
              </w:rPr>
              <w:t xml:space="preserve">1.2</w:t>
            </w:r>
            <w:r/>
          </w:p>
        </w:tc>
        <w:tc>
          <w:tcPr>
            <w:tcW w:w="6945" w:type="dxa"/>
            <w:vAlign w:val="top"/>
            <w:textDirection w:val="lrTb"/>
            <w:noWrap w:val="false"/>
          </w:tcPr>
          <w:p>
            <w:pPr>
              <w:rPr>
                <w:color w:val="auto"/>
                <w:szCs w:val="21"/>
                <w:highlight w:val="none"/>
              </w:rPr>
            </w:pPr>
            <w:r>
              <w:rPr>
                <w:color w:val="auto"/>
                <w:szCs w:val="21"/>
                <w:highlight w:val="none"/>
              </w:rPr>
              <w:t xml:space="preserve">屏蔽体尺寸：约18m（长）×10.5m（宽）×8.</w:t>
            </w:r>
            <w:r>
              <w:rPr>
                <w:rFonts w:hint="eastAsia"/>
                <w:color w:val="auto"/>
                <w:szCs w:val="21"/>
                <w:highlight w:val="none"/>
              </w:rPr>
              <w:t xml:space="preserve">8</w:t>
            </w:r>
            <w:r>
              <w:rPr>
                <w:color w:val="auto"/>
                <w:szCs w:val="21"/>
                <w:highlight w:val="none"/>
              </w:rPr>
              <w:t xml:space="preserve">m（高）；</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color w:val="auto"/>
                <w:szCs w:val="21"/>
                <w:highlight w:val="none"/>
              </w:rPr>
            </w:pPr>
            <w:r>
              <w:rPr>
                <w:color w:val="auto"/>
                <w:szCs w:val="21"/>
                <w:highlight w:val="none"/>
              </w:rPr>
              <w:t xml:space="preserve">1.3</w:t>
            </w:r>
            <w:r/>
          </w:p>
        </w:tc>
        <w:tc>
          <w:tcPr>
            <w:tcW w:w="6945" w:type="dxa"/>
            <w:vAlign w:val="top"/>
            <w:textDirection w:val="lrTb"/>
            <w:noWrap w:val="false"/>
          </w:tcPr>
          <w:p>
            <w:pPr>
              <w:rPr>
                <w:color w:val="auto"/>
                <w:szCs w:val="21"/>
                <w:highlight w:val="none"/>
              </w:rPr>
            </w:pPr>
            <w:r>
              <w:rPr>
                <w:color w:val="auto"/>
                <w:szCs w:val="21"/>
                <w:highlight w:val="none"/>
              </w:rPr>
              <w:t xml:space="preserve">屏蔽效能：≥80dB</w:t>
            </w:r>
            <w:r>
              <w:rPr>
                <w:rFonts w:hint="eastAsia"/>
                <w:color w:val="auto"/>
                <w:szCs w:val="21"/>
                <w:highlight w:val="none"/>
              </w:rPr>
              <w:t xml:space="preserve">（1GHz-110GHz）</w:t>
            </w:r>
            <w:r>
              <w:rPr>
                <w:color w:val="auto"/>
                <w:szCs w:val="21"/>
                <w:highlight w:val="none"/>
              </w:rPr>
              <w:t xml:space="preserve">；</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color w:val="auto"/>
                <w:szCs w:val="21"/>
                <w:highlight w:val="none"/>
              </w:rPr>
            </w:pPr>
            <w:r>
              <w:rPr>
                <w:color w:val="auto"/>
                <w:szCs w:val="21"/>
                <w:highlight w:val="none"/>
              </w:rPr>
              <w:t xml:space="preserve">1.4</w:t>
            </w:r>
            <w:r/>
          </w:p>
        </w:tc>
        <w:tc>
          <w:tcPr>
            <w:tcW w:w="6945" w:type="dxa"/>
            <w:vAlign w:val="top"/>
            <w:textDirection w:val="lrTb"/>
            <w:noWrap w:val="false"/>
          </w:tcPr>
          <w:p>
            <w:pPr>
              <w:rPr>
                <w:rFonts w:hint="eastAsia"/>
                <w:color w:val="auto"/>
                <w:highlight w:val="none"/>
              </w:rPr>
            </w:pPr>
            <w:r>
              <w:rPr>
                <w:color w:val="auto"/>
                <w:highlight w:val="none"/>
              </w:rPr>
              <w:t xml:space="preserve">配备电动平移屏蔽大门1扇，净开尺寸：约3m（宽）×3m（高），</w:t>
            </w:r>
            <w:r>
              <w:rPr>
                <w:rFonts w:hint="eastAsia"/>
                <w:color w:val="auto"/>
                <w:highlight w:val="none"/>
              </w:rPr>
              <w:t xml:space="preserve">为了确保屏蔽门性能的稳定性及操作的便利性，屏蔽门应采用单刀双簧结构方式；</w:t>
            </w:r>
            <w:r>
              <w:rPr>
                <w:color w:val="auto"/>
                <w:szCs w:val="21"/>
                <w:highlight w:val="none"/>
              </w:rPr>
              <w:t xml:space="preserve">配备屏蔽小门</w:t>
            </w:r>
            <w:r>
              <w:rPr>
                <w:rFonts w:hint="eastAsia"/>
                <w:color w:val="auto"/>
                <w:szCs w:val="21"/>
                <w:highlight w:val="none"/>
              </w:rPr>
              <w:t xml:space="preserve">1</w:t>
            </w:r>
            <w:r>
              <w:rPr>
                <w:color w:val="auto"/>
                <w:szCs w:val="21"/>
                <w:highlight w:val="none"/>
              </w:rPr>
              <w:t xml:space="preserve">扇，净开尺寸：约1.2m（宽）×2m（高），具有工作状态指示灯；</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w:t>
            </w:r>
            <w:r>
              <w:rPr>
                <w:rFonts w:hint="eastAsia"/>
                <w:color w:val="auto"/>
                <w:szCs w:val="21"/>
                <w:highlight w:val="none"/>
              </w:rPr>
              <w:t xml:space="preserve">5</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w:t>
            </w:r>
            <w:r>
              <w:rPr>
                <w:color w:val="auto"/>
                <w:szCs w:val="21"/>
                <w:highlight w:val="none"/>
              </w:rPr>
              <w:t xml:space="preserve">暗室采用独立自支撑结构</w:t>
            </w:r>
            <w:r>
              <w:rPr>
                <w:rFonts w:hint="eastAsia"/>
                <w:color w:val="auto"/>
                <w:szCs w:val="21"/>
                <w:highlight w:val="none"/>
              </w:rPr>
              <w:t xml:space="preserve">，整体结构稳定</w:t>
            </w:r>
            <w:r>
              <w:rPr>
                <w:color w:val="auto"/>
                <w:szCs w:val="21"/>
                <w:highlight w:val="none"/>
              </w:rPr>
              <w:t xml:space="preserve">，屏蔽体采用拼接式结构设计，</w:t>
            </w:r>
            <w:r>
              <w:rPr>
                <w:rFonts w:hint="eastAsia"/>
                <w:color w:val="auto"/>
                <w:szCs w:val="21"/>
                <w:highlight w:val="none"/>
              </w:rPr>
              <w:t xml:space="preserve">由不小于2mm厚度的热镀锌钢板构成，双面20μm均匀镀锌；</w:t>
            </w:r>
            <w:r>
              <w:rPr>
                <w:color w:val="auto"/>
                <w:szCs w:val="21"/>
                <w:highlight w:val="none"/>
              </w:rPr>
              <w:t xml:space="preserve"> </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w:t>
            </w:r>
            <w:r>
              <w:rPr>
                <w:rFonts w:hint="eastAsia"/>
                <w:color w:val="auto"/>
                <w:szCs w:val="21"/>
                <w:highlight w:val="none"/>
              </w:rPr>
              <w:t xml:space="preserve">6</w:t>
            </w:r>
            <w:r/>
          </w:p>
        </w:tc>
        <w:tc>
          <w:tcPr>
            <w:tcW w:w="6945" w:type="dxa"/>
            <w:vAlign w:val="top"/>
            <w:textDirection w:val="lrTb"/>
            <w:noWrap w:val="false"/>
          </w:tcPr>
          <w:p>
            <w:pPr>
              <w:rPr>
                <w:color w:val="auto"/>
                <w:szCs w:val="21"/>
                <w:highlight w:val="none"/>
              </w:rPr>
            </w:pPr>
            <w:r>
              <w:rPr>
                <w:color w:val="auto"/>
                <w:szCs w:val="21"/>
                <w:highlight w:val="none"/>
              </w:rPr>
              <w:t xml:space="preserve">屏蔽结构拥有足够抗氧化防锈处理，能够保证屏蔽钢板15年内不锈蚀、不变形，屏蔽钢板整体需美观整洁；</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w:t>
            </w:r>
            <w:r>
              <w:rPr>
                <w:rFonts w:hint="eastAsia"/>
                <w:color w:val="auto"/>
                <w:szCs w:val="21"/>
                <w:highlight w:val="none"/>
              </w:rPr>
              <w:t xml:space="preserve">7</w:t>
            </w:r>
            <w:r/>
          </w:p>
        </w:tc>
        <w:tc>
          <w:tcPr>
            <w:tcW w:w="6945" w:type="dxa"/>
            <w:vAlign w:val="top"/>
            <w:textDirection w:val="lrTb"/>
            <w:noWrap w:val="false"/>
          </w:tcPr>
          <w:p>
            <w:pPr>
              <w:rPr>
                <w:rFonts w:hint="eastAsia"/>
                <w:color w:val="auto"/>
                <w:szCs w:val="21"/>
                <w:highlight w:val="none"/>
              </w:rPr>
            </w:pPr>
            <w:r>
              <w:rPr>
                <w:color w:val="auto"/>
                <w:szCs w:val="21"/>
                <w:highlight w:val="none"/>
              </w:rPr>
              <w:t xml:space="preserve">吸波材料</w:t>
            </w:r>
            <w:r>
              <w:rPr>
                <w:rFonts w:hint="eastAsia"/>
                <w:color w:val="auto"/>
                <w:szCs w:val="21"/>
                <w:highlight w:val="none"/>
              </w:rPr>
              <w:t xml:space="preserve">防火等级满足GB8624-2012，按GB/T2406.1-2008塑料燃烧性能测试方法进行氧指数测试，阻燃等级为B1级；材料平均耐功率≥1kw/㎡；为适应本系统高洁净度的环境使用工况，材料达到GB50073-2013洁净度标准；吸波材料满足环保要求，无毒无气味，阻燃采用无机材料，提供第三方RoHS 测试报告；无卤素测试报告，满足室内甲醛、苯及有机挥发物含量检测应满足 GB50325-2020)标准规定的 II类民用建筑工程室内环境污染物浓度限量规定(</w:t>
            </w:r>
            <w:r>
              <w:rPr>
                <w:rFonts w:hint="eastAsia"/>
                <w:color w:val="auto"/>
                <w:szCs w:val="21"/>
                <w:highlight w:val="none"/>
                <w:lang w:val="en-US" w:eastAsia="zh-CN"/>
              </w:rPr>
              <w:t xml:space="preserve">签订合同时</w:t>
            </w:r>
            <w:r>
              <w:rPr>
                <w:rFonts w:hint="eastAsia"/>
                <w:color w:val="auto"/>
                <w:szCs w:val="21"/>
                <w:highlight w:val="none"/>
              </w:rPr>
              <w:t xml:space="preserve">提供第三方室内空气检测报告)；吸波材料胶粘剂必须为环保产品，提供胶水检测报告；</w:t>
            </w:r>
            <w:r/>
          </w:p>
          <w:p>
            <w:pPr>
              <w:pStyle w:val="947"/>
              <w:ind w:firstLine="0"/>
              <w:rPr>
                <w:color w:val="auto"/>
                <w:highlight w:val="none"/>
              </w:rPr>
            </w:pPr>
            <w:r>
              <w:rPr>
                <w:rFonts w:hint="eastAsia"/>
                <w:color w:val="auto"/>
                <w:highlight w:val="none"/>
              </w:rPr>
              <w:t xml:space="preserve">吸波材料垂直入射反射率：</w:t>
            </w:r>
            <w:r/>
          </w:p>
          <w:p>
            <w:pPr>
              <w:rPr>
                <w:rFonts w:ascii="宋体" w:hAnsi="宋体"/>
                <w:color w:val="auto"/>
                <w:highlight w:val="none"/>
              </w:rPr>
            </w:pPr>
            <w:r>
              <w:rPr>
                <w:rFonts w:hint="eastAsia" w:ascii="宋体" w:hAnsi="宋体"/>
                <w:color w:val="auto"/>
                <w:highlight w:val="none"/>
              </w:rPr>
              <w:t xml:space="preserve">1GHz时，≥30dB；</w:t>
            </w:r>
            <w:r/>
          </w:p>
          <w:p>
            <w:pPr>
              <w:rPr>
                <w:rFonts w:hint="eastAsia" w:ascii="宋体" w:hAnsi="宋体"/>
                <w:color w:val="auto"/>
                <w:highlight w:val="none"/>
              </w:rPr>
            </w:pPr>
            <w:r>
              <w:rPr>
                <w:rFonts w:hint="eastAsia" w:ascii="宋体" w:hAnsi="宋体"/>
                <w:color w:val="auto"/>
                <w:highlight w:val="none"/>
              </w:rPr>
              <w:t xml:space="preserve">3GHz时，≥45dB；</w:t>
            </w:r>
            <w:r/>
          </w:p>
          <w:p>
            <w:pPr>
              <w:pStyle w:val="947"/>
              <w:ind w:firstLine="0"/>
              <w:rPr>
                <w:color w:val="auto"/>
                <w:highlight w:val="none"/>
              </w:rPr>
            </w:pPr>
            <w:r>
              <w:rPr>
                <w:rFonts w:hint="eastAsia"/>
                <w:color w:val="auto"/>
                <w:highlight w:val="none"/>
              </w:rPr>
              <w:t xml:space="preserve">5GHz时，≥50dB；</w:t>
            </w:r>
            <w:r/>
          </w:p>
          <w:p>
            <w:pPr>
              <w:rPr>
                <w:rFonts w:ascii="宋体" w:hAnsi="宋体"/>
                <w:color w:val="auto"/>
                <w:highlight w:val="none"/>
              </w:rPr>
            </w:pPr>
            <w:r>
              <w:rPr>
                <w:rFonts w:hint="eastAsia" w:ascii="宋体" w:hAnsi="宋体"/>
                <w:color w:val="auto"/>
                <w:highlight w:val="none"/>
              </w:rPr>
              <w:t xml:space="preserve">10GHz时，≥60dB；</w:t>
            </w:r>
            <w:r/>
          </w:p>
          <w:p>
            <w:pPr>
              <w:pStyle w:val="947"/>
              <w:ind w:firstLine="0"/>
              <w:rPr>
                <w:rFonts w:hint="eastAsia"/>
                <w:color w:val="auto"/>
                <w:highlight w:val="none"/>
              </w:rPr>
            </w:pPr>
            <w:r>
              <w:rPr>
                <w:rFonts w:hint="eastAsia"/>
                <w:color w:val="auto"/>
                <w:highlight w:val="none"/>
              </w:rPr>
              <w:t xml:space="preserve">15GHz时，≥60dB；</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w:t>
            </w:r>
            <w:r>
              <w:rPr>
                <w:rFonts w:hint="eastAsia"/>
                <w:color w:val="auto"/>
                <w:szCs w:val="21"/>
                <w:highlight w:val="none"/>
              </w:rPr>
              <w:t xml:space="preserve">8</w:t>
            </w:r>
            <w:r/>
          </w:p>
        </w:tc>
        <w:tc>
          <w:tcPr>
            <w:tcW w:w="6945" w:type="dxa"/>
            <w:vAlign w:val="top"/>
            <w:textDirection w:val="lrTb"/>
            <w:noWrap w:val="false"/>
          </w:tcPr>
          <w:p>
            <w:pPr>
              <w:rPr>
                <w:color w:val="auto"/>
                <w:szCs w:val="21"/>
                <w:highlight w:val="none"/>
              </w:rPr>
            </w:pPr>
            <w:r>
              <w:rPr>
                <w:color w:val="auto"/>
                <w:szCs w:val="21"/>
                <w:highlight w:val="none"/>
              </w:rPr>
              <w:t xml:space="preserve">测试环境内配置2个摄像头，光学变焦≥20倍，夜视不低于400W像素，具备高清1080P像素和自动对焦功能，能自动适应环境的暗亮； </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w:t>
            </w:r>
            <w:r>
              <w:rPr>
                <w:rFonts w:hint="eastAsia"/>
                <w:color w:val="auto"/>
                <w:szCs w:val="21"/>
                <w:highlight w:val="none"/>
              </w:rPr>
              <w:t xml:space="preserve">9</w:t>
            </w:r>
            <w:r/>
          </w:p>
        </w:tc>
        <w:tc>
          <w:tcPr>
            <w:tcW w:w="6945" w:type="dxa"/>
            <w:vAlign w:val="top"/>
            <w:textDirection w:val="lrTb"/>
            <w:noWrap w:val="false"/>
          </w:tcPr>
          <w:p>
            <w:pPr>
              <w:rPr>
                <w:color w:val="auto"/>
                <w:szCs w:val="21"/>
                <w:highlight w:val="none"/>
              </w:rPr>
            </w:pPr>
            <w:r>
              <w:rPr>
                <w:color w:val="auto"/>
                <w:szCs w:val="21"/>
                <w:highlight w:val="none"/>
              </w:rPr>
              <w:t xml:space="preserve">配置硬盘录像机</w:t>
            </w:r>
            <w:r>
              <w:rPr>
                <w:rFonts w:hint="eastAsia"/>
                <w:color w:val="auto"/>
                <w:szCs w:val="21"/>
                <w:highlight w:val="none"/>
              </w:rPr>
              <w:t xml:space="preserve">，硬盘录像机路数≥4路，硬盘容量≥1T</w:t>
            </w:r>
            <w:r>
              <w:rPr>
                <w:color w:val="auto"/>
                <w:szCs w:val="21"/>
                <w:highlight w:val="none"/>
              </w:rPr>
              <w:t xml:space="preserve">，布置于控制室内，具有存储和分配显示画面功能，远程控制和接入功能，存储信息大于30天；</w:t>
            </w:r>
            <w:r/>
          </w:p>
          <w:p>
            <w:pPr>
              <w:rPr>
                <w:color w:val="auto"/>
                <w:szCs w:val="21"/>
                <w:highlight w:val="none"/>
              </w:rPr>
            </w:pPr>
            <w:r>
              <w:rPr>
                <w:color w:val="auto"/>
                <w:szCs w:val="21"/>
                <w:highlight w:val="none"/>
              </w:rPr>
              <w:t xml:space="preserve">控制室内配置监控显示器1台，尺寸</w:t>
            </w:r>
            <w:r>
              <w:rPr>
                <w:rFonts w:hint="eastAsia"/>
                <w:color w:val="auto"/>
                <w:szCs w:val="21"/>
                <w:highlight w:val="none"/>
              </w:rPr>
              <w:t xml:space="preserve">不小于</w:t>
            </w:r>
            <w:r>
              <w:rPr>
                <w:color w:val="auto"/>
                <w:szCs w:val="21"/>
                <w:highlight w:val="none"/>
              </w:rPr>
              <w:t xml:space="preserve">75寸；</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1.1</w:t>
            </w:r>
            <w:r>
              <w:rPr>
                <w:rFonts w:hint="eastAsia"/>
                <w:color w:val="auto"/>
                <w:szCs w:val="21"/>
                <w:highlight w:val="none"/>
              </w:rPr>
              <w:t xml:space="preserve">0</w:t>
            </w:r>
            <w:r/>
          </w:p>
        </w:tc>
        <w:tc>
          <w:tcPr>
            <w:tcW w:w="6945" w:type="dxa"/>
            <w:vAlign w:val="top"/>
            <w:textDirection w:val="lrTb"/>
            <w:noWrap w:val="false"/>
          </w:tcPr>
          <w:p>
            <w:pPr>
              <w:rPr>
                <w:color w:val="auto"/>
                <w:szCs w:val="21"/>
                <w:highlight w:val="none"/>
              </w:rPr>
            </w:pPr>
            <w:r>
              <w:rPr>
                <w:color w:val="auto"/>
                <w:szCs w:val="21"/>
                <w:highlight w:val="none"/>
              </w:rPr>
              <w:t xml:space="preserve">供电电缆通过电源滤波器接入测试环境内，电源滤波器</w:t>
            </w:r>
            <w:r>
              <w:rPr>
                <w:rFonts w:hint="eastAsia"/>
                <w:color w:val="auto"/>
                <w:szCs w:val="21"/>
                <w:highlight w:val="none"/>
              </w:rPr>
              <w:t xml:space="preserve">配置4套以上</w:t>
            </w:r>
            <w:r>
              <w:rPr>
                <w:rStyle w:val="954"/>
                <w:rFonts w:hint="eastAsia"/>
                <w:color w:val="auto"/>
                <w:highlight w:val="none"/>
              </w:rPr>
              <w:t xml:space="preserve">(含4套)</w:t>
            </w:r>
            <w:r>
              <w:rPr>
                <w:rFonts w:hint="eastAsia"/>
                <w:color w:val="auto"/>
                <w:szCs w:val="21"/>
                <w:highlight w:val="none"/>
              </w:rPr>
              <w:t xml:space="preserve">，至少满足包含4只32A单相滤波器、1只信号滤波器以及1只接地滤波器，滤波器的</w:t>
            </w:r>
            <w:r>
              <w:rPr>
                <w:color w:val="auto"/>
                <w:szCs w:val="21"/>
                <w:highlight w:val="none"/>
              </w:rPr>
              <w:t xml:space="preserve">选择满足测试环境整体屏蔽效能指标；</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1.1</w:t>
            </w:r>
            <w:r>
              <w:rPr>
                <w:rFonts w:hint="eastAsia"/>
                <w:color w:val="auto"/>
                <w:szCs w:val="21"/>
                <w:highlight w:val="none"/>
              </w:rPr>
              <w:t xml:space="preserve">1</w:t>
            </w:r>
            <w:r/>
          </w:p>
        </w:tc>
        <w:tc>
          <w:tcPr>
            <w:tcW w:w="6945" w:type="dxa"/>
            <w:vAlign w:val="top"/>
            <w:textDirection w:val="lrTb"/>
            <w:noWrap w:val="false"/>
          </w:tcPr>
          <w:p>
            <w:pPr>
              <w:rPr>
                <w:color w:val="auto"/>
                <w:szCs w:val="21"/>
                <w:highlight w:val="none"/>
              </w:rPr>
            </w:pPr>
            <w:r>
              <w:rPr>
                <w:color w:val="auto"/>
                <w:szCs w:val="21"/>
                <w:highlight w:val="none"/>
              </w:rPr>
              <w:t xml:space="preserve">测试环境内使用低辐射干扰的冷光源LED照明灯</w:t>
            </w:r>
            <w:r>
              <w:rPr>
                <w:rFonts w:hint="eastAsia"/>
                <w:color w:val="auto"/>
                <w:szCs w:val="21"/>
                <w:highlight w:val="none"/>
              </w:rPr>
              <w:t xml:space="preserve">，数量≥8盏，要求测试区域（即转台区域）的亮度≥250lm，其他区域≥150lm,且照明灯位置不在暗室静区范围内;</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1.1</w:t>
            </w:r>
            <w:r>
              <w:rPr>
                <w:rFonts w:hint="eastAsia"/>
                <w:color w:val="auto"/>
                <w:szCs w:val="21"/>
                <w:highlight w:val="none"/>
              </w:rPr>
              <w:t xml:space="preserve">2</w:t>
            </w:r>
            <w:r/>
          </w:p>
        </w:tc>
        <w:tc>
          <w:tcPr>
            <w:tcW w:w="6945" w:type="dxa"/>
            <w:vAlign w:val="top"/>
            <w:textDirection w:val="lrTb"/>
            <w:noWrap w:val="false"/>
          </w:tcPr>
          <w:p>
            <w:pPr>
              <w:rPr>
                <w:color w:val="auto"/>
                <w:szCs w:val="21"/>
                <w:highlight w:val="none"/>
              </w:rPr>
            </w:pPr>
            <w:r>
              <w:rPr>
                <w:color w:val="auto"/>
                <w:szCs w:val="21"/>
                <w:highlight w:val="none"/>
              </w:rPr>
              <w:t xml:space="preserve">配备升降平台</w:t>
            </w:r>
            <w:r>
              <w:rPr>
                <w:rFonts w:hint="eastAsia"/>
                <w:color w:val="auto"/>
                <w:szCs w:val="21"/>
                <w:highlight w:val="none"/>
              </w:rPr>
              <w:t xml:space="preserve">1</w:t>
            </w:r>
            <w:r>
              <w:rPr>
                <w:color w:val="auto"/>
                <w:szCs w:val="21"/>
                <w:highlight w:val="none"/>
              </w:rPr>
              <w:t xml:space="preserve">个，载荷：≥</w:t>
            </w:r>
            <w:r>
              <w:rPr>
                <w:rFonts w:hint="eastAsia"/>
                <w:color w:val="auto"/>
                <w:szCs w:val="21"/>
                <w:highlight w:val="none"/>
              </w:rPr>
              <w:t xml:space="preserve">50</w:t>
            </w:r>
            <w:r>
              <w:rPr>
                <w:color w:val="auto"/>
                <w:szCs w:val="21"/>
                <w:highlight w:val="none"/>
              </w:rPr>
              <w:t xml:space="preserve">0kg，可升高2m； </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1.1</w:t>
            </w:r>
            <w:r>
              <w:rPr>
                <w:rFonts w:hint="eastAsia"/>
                <w:color w:val="auto"/>
                <w:szCs w:val="21"/>
                <w:highlight w:val="none"/>
              </w:rPr>
              <w:t xml:space="preserve">3</w:t>
            </w:r>
            <w:r/>
          </w:p>
        </w:tc>
        <w:tc>
          <w:tcPr>
            <w:tcW w:w="6945" w:type="dxa"/>
            <w:vAlign w:val="top"/>
            <w:textDirection w:val="lrTb"/>
            <w:noWrap w:val="false"/>
          </w:tcPr>
          <w:p>
            <w:pPr>
              <w:rPr>
                <w:color w:val="auto"/>
                <w:szCs w:val="21"/>
                <w:highlight w:val="none"/>
              </w:rPr>
            </w:pPr>
            <w:r>
              <w:rPr>
                <w:color w:val="auto"/>
                <w:szCs w:val="21"/>
                <w:highlight w:val="none"/>
              </w:rPr>
              <w:t xml:space="preserve">配备行吊系统，起吊重量：≥250kg</w:t>
            </w:r>
            <w:r>
              <w:rPr>
                <w:rFonts w:hint="eastAsia"/>
                <w:color w:val="auto"/>
                <w:szCs w:val="21"/>
                <w:highlight w:val="none"/>
              </w:rPr>
              <w:t xml:space="preserve">，位于被测物转台上方</w:t>
            </w:r>
            <w:r>
              <w:rPr>
                <w:color w:val="auto"/>
                <w:szCs w:val="21"/>
                <w:highlight w:val="none"/>
              </w:rPr>
              <w:t xml:space="preserve">，运行平稳，配置符合安全规范的吊钩、吊带，</w:t>
            </w:r>
            <w:r>
              <w:rPr>
                <w:rFonts w:hint="eastAsia"/>
                <w:color w:val="auto"/>
                <w:szCs w:val="21"/>
                <w:highlight w:val="none"/>
              </w:rPr>
              <w:t xml:space="preserve">在吊钩使用完毕后，可以收纳入暗室的吊钩仓内，确保</w:t>
            </w:r>
            <w:r>
              <w:rPr>
                <w:color w:val="auto"/>
                <w:szCs w:val="21"/>
                <w:highlight w:val="none"/>
              </w:rPr>
              <w:t xml:space="preserve">行吊系统不影响测试环境性能；</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1.1</w:t>
            </w:r>
            <w:r>
              <w:rPr>
                <w:rFonts w:hint="eastAsia"/>
                <w:color w:val="auto"/>
                <w:szCs w:val="21"/>
                <w:highlight w:val="none"/>
              </w:rPr>
              <w:t xml:space="preserve">4</w:t>
            </w:r>
            <w:r/>
          </w:p>
        </w:tc>
        <w:tc>
          <w:tcPr>
            <w:tcW w:w="6945" w:type="dxa"/>
            <w:vAlign w:val="top"/>
            <w:textDirection w:val="lrTb"/>
            <w:noWrap w:val="false"/>
          </w:tcPr>
          <w:p>
            <w:pPr>
              <w:rPr>
                <w:color w:val="auto"/>
                <w:szCs w:val="21"/>
                <w:highlight w:val="none"/>
              </w:rPr>
            </w:pPr>
            <w:r>
              <w:rPr>
                <w:color w:val="auto"/>
                <w:szCs w:val="21"/>
                <w:highlight w:val="none"/>
              </w:rPr>
              <w:t xml:space="preserve">配备</w:t>
            </w:r>
            <w:r>
              <w:rPr>
                <w:rFonts w:hint="eastAsia"/>
                <w:color w:val="auto"/>
                <w:szCs w:val="21"/>
                <w:highlight w:val="none"/>
              </w:rPr>
              <w:t xml:space="preserve">准备间</w:t>
            </w:r>
            <w:r>
              <w:rPr>
                <w:color w:val="auto"/>
                <w:szCs w:val="21"/>
                <w:highlight w:val="none"/>
              </w:rPr>
              <w:t xml:space="preserve">，</w:t>
            </w:r>
            <w:r>
              <w:rPr>
                <w:rFonts w:hint="eastAsia"/>
                <w:color w:val="auto"/>
                <w:szCs w:val="21"/>
                <w:highlight w:val="none"/>
              </w:rPr>
              <w:t xml:space="preserve">用于放置</w:t>
            </w:r>
            <w:r>
              <w:rPr>
                <w:color w:val="auto"/>
                <w:szCs w:val="21"/>
                <w:highlight w:val="none"/>
              </w:rPr>
              <w:t xml:space="preserve">非测试状态转台</w:t>
            </w:r>
            <w:r>
              <w:rPr>
                <w:rFonts w:hint="eastAsia"/>
                <w:color w:val="auto"/>
                <w:szCs w:val="21"/>
                <w:highlight w:val="none"/>
              </w:rPr>
              <w:t xml:space="preserve">，准备间空间尺寸不小于2m×10.5m×8.8m（包含在暗室整体空间内）</w:t>
            </w:r>
            <w:r>
              <w:rPr>
                <w:color w:val="auto"/>
                <w:szCs w:val="21"/>
                <w:highlight w:val="none"/>
              </w:rPr>
              <w:t xml:space="preserve">；</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w:t>
            </w:r>
            <w:r>
              <w:rPr>
                <w:rFonts w:hint="eastAsia"/>
                <w:color w:val="auto"/>
                <w:szCs w:val="21"/>
                <w:highlight w:val="none"/>
              </w:rPr>
              <w:t xml:space="preserve">15</w:t>
            </w:r>
            <w:r/>
          </w:p>
        </w:tc>
        <w:tc>
          <w:tcPr>
            <w:tcW w:w="6945" w:type="dxa"/>
            <w:vAlign w:val="top"/>
            <w:textDirection w:val="lrTb"/>
            <w:noWrap w:val="false"/>
          </w:tcPr>
          <w:p>
            <w:pPr>
              <w:rPr>
                <w:rFonts w:hint="eastAsia"/>
                <w:color w:val="auto"/>
                <w:szCs w:val="21"/>
                <w:highlight w:val="none"/>
              </w:rPr>
            </w:pPr>
            <w:r>
              <w:rPr>
                <w:color w:val="auto"/>
                <w:szCs w:val="21"/>
                <w:highlight w:val="none"/>
              </w:rPr>
              <w:t xml:space="preserve">暗室配备至少1套专用的烟雾报警系统，此系统为空气采样方式，系统所有涉及到电子模块的设备部件都安装在暗室外部的侧墙面，可以进行自报警，提供声光报警，可连续检测暗室内烟雾浓度并报警，且不影响屏蔽效能</w:t>
            </w:r>
            <w:r>
              <w:rPr>
                <w:rFonts w:hint="eastAsia"/>
                <w:color w:val="auto"/>
                <w:szCs w:val="21"/>
                <w:highlight w:val="none"/>
              </w:rPr>
              <w:t xml:space="preserve">；</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1.</w:t>
            </w:r>
            <w:r>
              <w:rPr>
                <w:rFonts w:hint="eastAsia"/>
                <w:color w:val="auto"/>
                <w:szCs w:val="21"/>
                <w:highlight w:val="none"/>
              </w:rPr>
              <w:t xml:space="preserve">16</w:t>
            </w:r>
            <w:r/>
          </w:p>
        </w:tc>
        <w:tc>
          <w:tcPr>
            <w:tcW w:w="6945" w:type="dxa"/>
            <w:vAlign w:val="top"/>
            <w:textDirection w:val="lrTb"/>
            <w:noWrap w:val="false"/>
          </w:tcPr>
          <w:p>
            <w:pPr>
              <w:rPr>
                <w:rFonts w:hint="eastAsia"/>
                <w:color w:val="auto"/>
                <w:szCs w:val="21"/>
                <w:highlight w:val="none"/>
              </w:rPr>
            </w:pPr>
            <w:r>
              <w:rPr>
                <w:color w:val="auto"/>
                <w:szCs w:val="21"/>
                <w:highlight w:val="none"/>
              </w:rPr>
              <w:t xml:space="preserve">暗室配套空调系统：</w:t>
            </w:r>
            <w:r>
              <w:rPr>
                <w:rFonts w:hint="eastAsia"/>
                <w:color w:val="auto"/>
                <w:szCs w:val="21"/>
                <w:highlight w:val="none"/>
              </w:rPr>
              <w:t xml:space="preserve">要求</w:t>
            </w:r>
            <w:r>
              <w:rPr>
                <w:color w:val="auto"/>
                <w:szCs w:val="21"/>
                <w:highlight w:val="none"/>
              </w:rPr>
              <w:t xml:space="preserve">暗室</w:t>
            </w:r>
            <w:r>
              <w:rPr>
                <w:rFonts w:hint="eastAsia"/>
                <w:color w:val="auto"/>
                <w:szCs w:val="21"/>
                <w:highlight w:val="none"/>
              </w:rPr>
              <w:t xml:space="preserve">温度满足：22℃±2℃； </w:t>
            </w:r>
            <w:r/>
          </w:p>
        </w:tc>
      </w:tr>
      <w:tr>
        <w:trPr/>
        <w:tc>
          <w:tcPr>
            <w:tcW w:w="1447" w:type="dxa"/>
            <w:vAlign w:val="top"/>
            <w:vMerge w:val="restart"/>
            <w:textDirection w:val="lrTb"/>
            <w:noWrap w:val="false"/>
          </w:tcPr>
          <w:p>
            <w:pPr>
              <w:jc w:val="left"/>
              <w:rPr>
                <w:rFonts w:hint="eastAsia"/>
                <w:color w:val="auto"/>
                <w:szCs w:val="21"/>
                <w:highlight w:val="none"/>
              </w:rPr>
            </w:pPr>
            <w:r>
              <w:rPr>
                <w:rFonts w:hint="eastAsia"/>
                <w:color w:val="auto"/>
                <w:szCs w:val="21"/>
                <w:highlight w:val="none"/>
              </w:rPr>
              <w:t xml:space="preserve">2.紧缩场测试系统</w:t>
            </w:r>
            <w:r/>
          </w:p>
        </w:tc>
        <w:tc>
          <w:tcPr>
            <w:gridSpan w:val="2"/>
            <w:tcW w:w="1418" w:type="dxa"/>
            <w:vAlign w:val="top"/>
            <w:textDirection w:val="lrTb"/>
            <w:noWrap w:val="false"/>
          </w:tcPr>
          <w:p>
            <w:pPr>
              <w:jc w:val="center"/>
              <w:rPr>
                <w:color w:val="auto"/>
                <w:szCs w:val="21"/>
                <w:highlight w:val="none"/>
              </w:rPr>
            </w:pPr>
            <w:r>
              <w:rPr>
                <w:color w:val="auto"/>
                <w:szCs w:val="21"/>
                <w:highlight w:val="none"/>
              </w:rPr>
              <w:t xml:space="preserve">2.1</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紧缩场测试系统</w:t>
            </w:r>
            <w:r>
              <w:rPr>
                <w:color w:val="auto"/>
                <w:szCs w:val="21"/>
                <w:highlight w:val="none"/>
              </w:rPr>
              <w:t xml:space="preserve">包含主反射面、</w:t>
            </w:r>
            <w:bookmarkStart w:id="196" w:name="OLE_LINK1"/>
            <w:r>
              <w:rPr>
                <w:rFonts w:hint="eastAsia"/>
                <w:color w:val="auto"/>
                <w:szCs w:val="21"/>
                <w:highlight w:val="none"/>
              </w:rPr>
              <w:t xml:space="preserve">RCS双站紧缩场反射面</w:t>
            </w:r>
            <w:bookmarkEnd w:id="196"/>
            <w:r>
              <w:rPr>
                <w:rFonts w:hint="eastAsia"/>
                <w:color w:val="auto"/>
                <w:szCs w:val="21"/>
                <w:highlight w:val="none"/>
              </w:rPr>
              <w:t xml:space="preserve">（副反射面）、低频阵列、</w:t>
            </w:r>
            <w:r>
              <w:rPr>
                <w:color w:val="auto"/>
                <w:szCs w:val="21"/>
                <w:highlight w:val="none"/>
              </w:rPr>
              <w:t xml:space="preserve">背架结构系统及馈源，与暗室结合满足整体的静区系统指标；</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2.2</w:t>
            </w:r>
            <w:r/>
          </w:p>
        </w:tc>
        <w:tc>
          <w:tcPr>
            <w:tcW w:w="6945" w:type="dxa"/>
            <w:vAlign w:val="top"/>
            <w:textDirection w:val="lrTb"/>
            <w:noWrap w:val="false"/>
          </w:tcPr>
          <w:p>
            <w:pPr>
              <w:rPr>
                <w:rFonts w:hint="eastAsia"/>
                <w:color w:val="auto"/>
                <w:szCs w:val="21"/>
                <w:highlight w:val="none"/>
              </w:rPr>
            </w:pPr>
            <w:r>
              <w:rPr>
                <w:rFonts w:hint="eastAsia"/>
                <w:color w:val="auto"/>
                <w:szCs w:val="21"/>
                <w:highlight w:val="none"/>
              </w:rPr>
              <w:t xml:space="preserve">紧缩场</w:t>
            </w:r>
            <w:r>
              <w:rPr>
                <w:color w:val="auto"/>
                <w:szCs w:val="21"/>
                <w:highlight w:val="none"/>
              </w:rPr>
              <w:t xml:space="preserve">反射面</w:t>
            </w:r>
            <w:r>
              <w:rPr>
                <w:rFonts w:hint="eastAsia"/>
                <w:color w:val="auto"/>
                <w:szCs w:val="21"/>
                <w:highlight w:val="none"/>
              </w:rPr>
              <w:t xml:space="preserve">采用锯齿边工艺；</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2.3</w:t>
            </w:r>
            <w:r/>
          </w:p>
        </w:tc>
        <w:tc>
          <w:tcPr>
            <w:tcW w:w="6945" w:type="dxa"/>
            <w:vAlign w:val="top"/>
            <w:textDirection w:val="lrTb"/>
            <w:noWrap w:val="false"/>
          </w:tcPr>
          <w:p>
            <w:pPr>
              <w:rPr>
                <w:rFonts w:hint="eastAsia"/>
                <w:color w:val="auto"/>
                <w:highlight w:val="none"/>
              </w:rPr>
            </w:pPr>
            <w:r>
              <w:rPr>
                <w:rFonts w:hint="eastAsia"/>
                <w:color w:val="auto"/>
                <w:highlight w:val="none"/>
              </w:rPr>
              <w:t xml:space="preserve">★</w:t>
            </w:r>
            <w:r>
              <w:rPr>
                <w:color w:val="auto"/>
                <w:highlight w:val="none"/>
              </w:rPr>
              <w:t xml:space="preserve">主反射面和RCS</w:t>
            </w:r>
            <w:r>
              <w:rPr>
                <w:rFonts w:hint="eastAsia"/>
                <w:color w:val="auto"/>
                <w:highlight w:val="none"/>
              </w:rPr>
              <w:t xml:space="preserve">双站紧缩场反射面</w:t>
            </w:r>
            <w:r>
              <w:rPr>
                <w:rFonts w:hint="eastAsia"/>
                <w:color w:val="auto"/>
                <w:szCs w:val="21"/>
                <w:highlight w:val="none"/>
              </w:rPr>
              <w:t xml:space="preserve">（副反射面）</w:t>
            </w:r>
            <w:r>
              <w:rPr>
                <w:color w:val="auto"/>
                <w:highlight w:val="none"/>
              </w:rPr>
              <w:t xml:space="preserve">型面精度：≤50微米（RMS），核心部分型面精度：≤30微米（RMS）；</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2.4</w:t>
            </w:r>
            <w:r/>
          </w:p>
        </w:tc>
        <w:tc>
          <w:tcPr>
            <w:tcW w:w="6945" w:type="dxa"/>
            <w:vAlign w:val="top"/>
            <w:textDirection w:val="lrTb"/>
            <w:noWrap w:val="false"/>
          </w:tcPr>
          <w:p>
            <w:pPr>
              <w:rPr>
                <w:rFonts w:hint="eastAsia"/>
                <w:color w:val="auto"/>
                <w:szCs w:val="21"/>
                <w:highlight w:val="none"/>
              </w:rPr>
            </w:pPr>
            <w:r>
              <w:rPr>
                <w:rFonts w:hint="eastAsia" w:ascii="宋体" w:hAnsi="宋体" w:cs="宋体"/>
                <w:color w:val="auto"/>
                <w:highlight w:val="none"/>
              </w:rPr>
              <w:t xml:space="preserve">▲</w:t>
            </w:r>
            <w:r>
              <w:rPr>
                <w:color w:val="auto"/>
                <w:highlight w:val="none"/>
              </w:rPr>
              <w:t xml:space="preserve">反射面采用轻量化设计，其中面板部分：≤25kg/</w:t>
            </w:r>
            <w:r>
              <w:rPr>
                <w:rFonts w:hint="eastAsia"/>
                <w:color w:val="auto"/>
                <w:highlight w:val="none"/>
              </w:rPr>
              <w:t xml:space="preserve">㎡</w:t>
            </w:r>
            <w:r>
              <w:rPr>
                <w:color w:val="auto"/>
                <w:highlight w:val="none"/>
              </w:rPr>
              <w:t xml:space="preserve">；</w:t>
            </w:r>
            <w:r>
              <w:rPr>
                <w:rFonts w:hint="eastAsia"/>
                <w:color w:val="auto"/>
                <w:szCs w:val="21"/>
                <w:highlight w:val="none"/>
              </w:rPr>
              <w:t xml:space="preserve"> </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2.5</w:t>
            </w:r>
            <w:r/>
          </w:p>
        </w:tc>
        <w:tc>
          <w:tcPr>
            <w:tcW w:w="6945" w:type="dxa"/>
            <w:vAlign w:val="top"/>
            <w:textDirection w:val="lrTb"/>
            <w:noWrap w:val="false"/>
          </w:tcPr>
          <w:p>
            <w:pPr>
              <w:rPr>
                <w:rFonts w:hint="eastAsia"/>
                <w:color w:val="auto"/>
                <w:szCs w:val="21"/>
                <w:highlight w:val="none"/>
              </w:rPr>
            </w:pPr>
            <w:r>
              <w:rPr>
                <w:color w:val="auto"/>
                <w:szCs w:val="21"/>
                <w:highlight w:val="none"/>
              </w:rPr>
              <w:t xml:space="preserve">背架结构用于反射面的固定、承载，</w:t>
            </w:r>
            <w:r>
              <w:rPr>
                <w:rFonts w:hint="eastAsia"/>
                <w:color w:val="auto"/>
                <w:highlight w:val="none"/>
              </w:rPr>
              <w:t xml:space="preserve">配置有反射面调节机构，可以在6个自由度上调整各面板的空间位置和姿态，同时进行锁死，使反射面从背架获得强力和稳定的支撑，</w:t>
            </w:r>
            <w:r>
              <w:rPr>
                <w:color w:val="auto"/>
                <w:szCs w:val="21"/>
                <w:highlight w:val="none"/>
              </w:rPr>
              <w:t xml:space="preserve">保证反射面整体结构的稳定性</w:t>
            </w:r>
            <w:r>
              <w:rPr>
                <w:rFonts w:hint="eastAsia"/>
                <w:color w:val="auto"/>
                <w:highlight w:val="none"/>
              </w:rPr>
              <w:t xml:space="preserve">；</w:t>
            </w:r>
            <w:r>
              <w:rPr>
                <w:color w:val="auto"/>
                <w:szCs w:val="21"/>
                <w:highlight w:val="none"/>
              </w:rPr>
              <w:t xml:space="preserve"> </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2.6</w:t>
            </w:r>
            <w:r/>
          </w:p>
        </w:tc>
        <w:tc>
          <w:tcPr>
            <w:tcW w:w="6945" w:type="dxa"/>
            <w:vAlign w:val="top"/>
            <w:textDirection w:val="lrTb"/>
            <w:noWrap w:val="false"/>
          </w:tcPr>
          <w:p>
            <w:pPr>
              <w:rPr>
                <w:rFonts w:hint="eastAsia"/>
                <w:color w:val="auto"/>
                <w:szCs w:val="21"/>
                <w:highlight w:val="none"/>
              </w:rPr>
            </w:pPr>
            <w:r>
              <w:rPr>
                <w:rFonts w:hint="eastAsia"/>
                <w:color w:val="auto"/>
                <w:szCs w:val="21"/>
                <w:highlight w:val="none"/>
              </w:rPr>
              <w:t xml:space="preserve">背架结构的四边为每一个边齿配置一套调节机构，</w:t>
            </w:r>
            <w:r>
              <w:rPr>
                <w:rFonts w:hint="eastAsia"/>
                <w:color w:val="auto"/>
                <w:highlight w:val="none"/>
              </w:rPr>
              <w:t xml:space="preserve">可以</w:t>
            </w:r>
            <w:r>
              <w:rPr>
                <w:rFonts w:hint="eastAsia"/>
                <w:color w:val="auto"/>
                <w:szCs w:val="21"/>
                <w:highlight w:val="none"/>
              </w:rPr>
              <w:t xml:space="preserve">在6个自由度上对边齿位置和姿态进行调节，且该机构在反射面主视投影上不允许露出；</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2.7</w:t>
            </w:r>
            <w:r/>
          </w:p>
        </w:tc>
        <w:tc>
          <w:tcPr>
            <w:tcW w:w="6945" w:type="dxa"/>
            <w:vAlign w:val="top"/>
            <w:textDirection w:val="lrTb"/>
            <w:noWrap w:val="false"/>
          </w:tcPr>
          <w:p>
            <w:pPr>
              <w:rPr>
                <w:color w:val="auto"/>
                <w:szCs w:val="21"/>
                <w:highlight w:val="none"/>
              </w:rPr>
            </w:pPr>
            <w:r/>
            <w:bookmarkStart w:id="197" w:name="OLE_LINK14"/>
            <w:r>
              <w:rPr>
                <w:color w:val="auto"/>
                <w:szCs w:val="21"/>
                <w:highlight w:val="none"/>
              </w:rPr>
              <w:t xml:space="preserve">配置标准馈源1套，配套馈源</w:t>
            </w:r>
            <w:r>
              <w:rPr>
                <w:rFonts w:hint="eastAsia"/>
                <w:color w:val="auto"/>
                <w:szCs w:val="21"/>
                <w:highlight w:val="none"/>
              </w:rPr>
              <w:t xml:space="preserve">安装机构；</w:t>
            </w:r>
            <w:bookmarkEnd w:id="197"/>
            <w:r/>
            <w:r/>
          </w:p>
          <w:p>
            <w:pPr>
              <w:pStyle w:val="947"/>
              <w:ind w:firstLine="0"/>
              <w:spacing w:line="240" w:lineRule="auto"/>
              <w:rPr>
                <w:rFonts w:hint="eastAsia"/>
                <w:color w:val="auto"/>
                <w:highlight w:val="none"/>
              </w:rPr>
            </w:pPr>
            <w:r>
              <w:rPr>
                <w:rFonts w:hint="eastAsia"/>
                <w:color w:val="auto"/>
                <w:highlight w:val="none"/>
              </w:rPr>
              <w:t xml:space="preserve">标准馈源与主反射面配套使用，标准馈源工作频率范围1GHz-110GHz，在整个工作频段内划分的波段数量≤10段，每个波段配备2支，40GHz以下频段的馈源均采用双线极化，驻波比≤2，端口隔离度≥30dB，接头形式采用N头、SMA或K头，方便电缆连接；40GHz以上频段的馈源均采用单线极化，驻波比≤1.6，接口为标准矩形波导接口，方便与混频器等模块连接；</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2.8</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配置4-40GHz阵列馈源1套，配置40-110GHz标准波纹喇叭1套，配套馈源安装机构；</w:t>
            </w:r>
            <w:r/>
          </w:p>
          <w:p>
            <w:pPr>
              <w:pStyle w:val="947"/>
              <w:ind w:firstLine="0"/>
              <w:spacing w:line="240" w:lineRule="auto"/>
              <w:rPr>
                <w:rFonts w:hint="eastAsia"/>
                <w:color w:val="auto"/>
                <w:highlight w:val="none"/>
              </w:rPr>
            </w:pPr>
            <w:r/>
            <w:bookmarkStart w:id="198" w:name="OLE_LINK16"/>
            <w:r>
              <w:rPr>
                <w:rFonts w:hint="eastAsia"/>
                <w:color w:val="auto"/>
                <w:highlight w:val="none"/>
              </w:rPr>
              <w:t xml:space="preserve">阵列馈源</w:t>
            </w:r>
            <w:bookmarkEnd w:id="198"/>
            <w:r>
              <w:rPr>
                <w:rFonts w:hint="eastAsia"/>
                <w:color w:val="auto"/>
                <w:highlight w:val="none"/>
              </w:rPr>
              <w:t xml:space="preserve">与</w:t>
            </w:r>
            <w:r>
              <w:rPr>
                <w:color w:val="auto"/>
                <w:highlight w:val="none"/>
              </w:rPr>
              <w:t xml:space="preserve">RCS</w:t>
            </w:r>
            <w:r>
              <w:rPr>
                <w:rFonts w:hint="eastAsia"/>
                <w:color w:val="auto"/>
                <w:highlight w:val="none"/>
              </w:rPr>
              <w:t xml:space="preserve">双站紧缩场反射面（副反射面）配套使用，</w:t>
            </w:r>
            <w:bookmarkStart w:id="199" w:name="OLE_LINK15"/>
            <w:r>
              <w:rPr>
                <w:rFonts w:hint="eastAsia"/>
                <w:color w:val="auto"/>
                <w:highlight w:val="none"/>
              </w:rPr>
              <w:t xml:space="preserve">阵列馈源</w:t>
            </w:r>
            <w:bookmarkEnd w:id="199"/>
            <w:r/>
            <w:bookmarkStart w:id="200" w:name="OLE_LINK17"/>
            <w:r>
              <w:rPr>
                <w:rFonts w:hint="eastAsia"/>
                <w:color w:val="auto"/>
                <w:highlight w:val="none"/>
              </w:rPr>
              <w:t xml:space="preserve">工作频率范围</w:t>
            </w:r>
            <w:r>
              <w:rPr>
                <w:color w:val="auto"/>
                <w:highlight w:val="none"/>
              </w:rPr>
              <w:t xml:space="preserve">4~</w:t>
            </w:r>
            <w:r>
              <w:rPr>
                <w:rFonts w:hint="eastAsia"/>
                <w:color w:val="auto"/>
                <w:highlight w:val="none"/>
              </w:rPr>
              <w:t xml:space="preserve">40</w:t>
            </w:r>
            <w:r>
              <w:rPr>
                <w:color w:val="auto"/>
                <w:highlight w:val="none"/>
              </w:rPr>
              <w:t xml:space="preserve">GHz</w:t>
            </w:r>
            <w:r>
              <w:rPr>
                <w:rFonts w:hint="eastAsia"/>
                <w:color w:val="auto"/>
                <w:highlight w:val="none"/>
              </w:rPr>
              <w:t xml:space="preserve">，在整个工作频段内划分的波段数量≤4段，</w:t>
            </w:r>
            <w:bookmarkEnd w:id="200"/>
            <w:r>
              <w:rPr>
                <w:rFonts w:hint="eastAsia"/>
                <w:color w:val="auto"/>
                <w:highlight w:val="none"/>
              </w:rPr>
              <w:t xml:space="preserve">每个波段配备</w:t>
            </w:r>
            <w:r>
              <w:rPr>
                <w:color w:val="auto"/>
                <w:highlight w:val="none"/>
              </w:rPr>
              <w:t xml:space="preserve">1</w:t>
            </w:r>
            <w:r>
              <w:rPr>
                <w:rFonts w:hint="eastAsia"/>
                <w:color w:val="auto"/>
                <w:highlight w:val="none"/>
              </w:rPr>
              <w:t xml:space="preserve">列，支持水平和垂直双线极化自动切换，与</w:t>
            </w:r>
            <w:r>
              <w:rPr>
                <w:color w:val="auto"/>
                <w:highlight w:val="none"/>
              </w:rPr>
              <w:t xml:space="preserve">RCS</w:t>
            </w:r>
            <w:r>
              <w:rPr>
                <w:rFonts w:hint="eastAsia"/>
                <w:color w:val="auto"/>
                <w:highlight w:val="none"/>
              </w:rPr>
              <w:t xml:space="preserve">双站紧缩场反射面（副反射面）配合形成平面波；40</w:t>
            </w:r>
            <w:r>
              <w:rPr>
                <w:color w:val="auto"/>
                <w:highlight w:val="none"/>
              </w:rPr>
              <w:t xml:space="preserve">GHz</w:t>
            </w:r>
            <w:r>
              <w:rPr>
                <w:rFonts w:hint="eastAsia"/>
                <w:color w:val="auto"/>
                <w:highlight w:val="none"/>
              </w:rPr>
              <w:t xml:space="preserve">～</w:t>
            </w:r>
            <w:r>
              <w:rPr>
                <w:color w:val="auto"/>
                <w:highlight w:val="none"/>
              </w:rPr>
              <w:t xml:space="preserve">110GHz</w:t>
            </w:r>
            <w:r>
              <w:rPr>
                <w:rFonts w:hint="eastAsia"/>
                <w:color w:val="auto"/>
                <w:highlight w:val="none"/>
              </w:rPr>
              <w:t xml:space="preserve">配备标准波纹喇叭，与</w:t>
            </w:r>
            <w:r>
              <w:rPr>
                <w:color w:val="auto"/>
                <w:highlight w:val="none"/>
              </w:rPr>
              <w:t xml:space="preserve">RCS</w:t>
            </w:r>
            <w:r>
              <w:rPr>
                <w:rFonts w:hint="eastAsia"/>
                <w:color w:val="auto"/>
                <w:highlight w:val="none"/>
              </w:rPr>
              <w:t xml:space="preserve">双站紧缩场反射面（副反射面）在40</w:t>
            </w:r>
            <w:r>
              <w:rPr>
                <w:color w:val="auto"/>
                <w:highlight w:val="none"/>
              </w:rPr>
              <w:t xml:space="preserve">GHz</w:t>
            </w:r>
            <w:r>
              <w:rPr>
                <w:rFonts w:hint="eastAsia"/>
                <w:color w:val="auto"/>
                <w:highlight w:val="none"/>
              </w:rPr>
              <w:t xml:space="preserve">以上频段提供双站柱面波；</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2.9</w:t>
            </w:r>
            <w:r/>
          </w:p>
        </w:tc>
        <w:tc>
          <w:tcPr>
            <w:tcW w:w="6945" w:type="dxa"/>
            <w:vAlign w:val="top"/>
            <w:textDirection w:val="lrTb"/>
            <w:noWrap w:val="false"/>
          </w:tcPr>
          <w:p>
            <w:pPr>
              <w:rPr>
                <w:rFonts w:hint="eastAsia"/>
                <w:color w:val="auto"/>
                <w:szCs w:val="21"/>
                <w:highlight w:val="none"/>
              </w:rPr>
            </w:pPr>
            <w:r>
              <w:rPr>
                <w:rFonts w:hint="eastAsia"/>
                <w:color w:val="auto"/>
                <w:szCs w:val="21"/>
                <w:highlight w:val="none"/>
              </w:rPr>
              <w:t xml:space="preserve">线阵馈源后配备幅度相位调控网络，工作频率范围</w:t>
            </w:r>
            <w:r>
              <w:rPr>
                <w:color w:val="auto"/>
                <w:szCs w:val="21"/>
                <w:highlight w:val="none"/>
              </w:rPr>
              <w:t xml:space="preserve">4~</w:t>
            </w:r>
            <w:r>
              <w:rPr>
                <w:rFonts w:hint="eastAsia"/>
                <w:color w:val="auto"/>
                <w:szCs w:val="21"/>
                <w:highlight w:val="none"/>
              </w:rPr>
              <w:t xml:space="preserve">40</w:t>
            </w:r>
            <w:r>
              <w:rPr>
                <w:color w:val="auto"/>
                <w:szCs w:val="21"/>
                <w:highlight w:val="none"/>
              </w:rPr>
              <w:t xml:space="preserve">GHz</w:t>
            </w:r>
            <w:r>
              <w:rPr>
                <w:rFonts w:hint="eastAsia"/>
                <w:color w:val="auto"/>
                <w:szCs w:val="21"/>
                <w:highlight w:val="none"/>
              </w:rPr>
              <w:t xml:space="preserve">，在整个工作频段内划分的波段数量≤4段，工作带宽与阵列馈源相同，可实现线阵波束调控，调控网络输出端数量与线阵馈源数量相同，输入端端口数量≥2；幅度步进分辨率优于0.5dB，相位步进分辨率优于5°。</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restart"/>
            <w:textDirection w:val="lrTb"/>
            <w:noWrap w:val="false"/>
          </w:tcPr>
          <w:p>
            <w:pPr>
              <w:rPr>
                <w:color w:val="auto"/>
                <w:szCs w:val="21"/>
                <w:highlight w:val="none"/>
              </w:rPr>
            </w:pPr>
            <w:r>
              <w:rPr>
                <w:rFonts w:hint="eastAsia"/>
                <w:color w:val="auto"/>
                <w:szCs w:val="21"/>
                <w:highlight w:val="none"/>
              </w:rPr>
              <w:t xml:space="preserve">2.10</w:t>
            </w:r>
            <w:r/>
          </w:p>
          <w:p>
            <w:pPr>
              <w:pStyle w:val="947"/>
              <w:ind w:firstLine="0"/>
              <w:spacing w:line="240" w:lineRule="auto"/>
              <w:rPr>
                <w:rFonts w:hint="eastAsia"/>
                <w:color w:val="auto"/>
                <w:highlight w:val="none"/>
              </w:rPr>
            </w:pPr>
            <w:r>
              <w:rPr>
                <w:rFonts w:hint="eastAsia"/>
                <w:color w:val="auto"/>
                <w:highlight w:val="none"/>
              </w:rPr>
              <w:t xml:space="preserve">低频阵列</w:t>
            </w:r>
            <w:r/>
          </w:p>
          <w:p>
            <w:pPr>
              <w:pStyle w:val="947"/>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2.10.1</w:t>
            </w:r>
            <w:r/>
          </w:p>
        </w:tc>
        <w:tc>
          <w:tcPr>
            <w:tcW w:w="6945" w:type="dxa"/>
            <w:vAlign w:val="top"/>
            <w:textDirection w:val="lrTb"/>
            <w:noWrap w:val="false"/>
          </w:tcPr>
          <w:p>
            <w:pPr>
              <w:rPr>
                <w:color w:val="auto"/>
                <w:szCs w:val="21"/>
                <w:highlight w:val="none"/>
              </w:rPr>
            </w:pPr>
            <w:r>
              <w:rPr>
                <w:color w:val="auto"/>
                <w:szCs w:val="21"/>
                <w:highlight w:val="none"/>
              </w:rPr>
              <w:t xml:space="preserve">工作频率可以覆盖：1GHz～4GHz</w:t>
            </w:r>
            <w:r>
              <w:rPr>
                <w:rFonts w:hint="eastAsia"/>
                <w:color w:val="auto"/>
                <w:szCs w:val="21"/>
                <w:highlight w:val="none"/>
              </w:rPr>
              <w:t xml:space="preserve">；</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2.10.2</w:t>
            </w:r>
            <w:r/>
          </w:p>
        </w:tc>
        <w:tc>
          <w:tcPr>
            <w:tcW w:w="6945" w:type="dxa"/>
            <w:vAlign w:val="top"/>
            <w:textDirection w:val="lrTb"/>
            <w:noWrap w:val="false"/>
          </w:tcPr>
          <w:p>
            <w:pPr>
              <w:rPr>
                <w:color w:val="auto"/>
                <w:highlight w:val="none"/>
              </w:rPr>
            </w:pPr>
            <w:r>
              <w:rPr>
                <w:rFonts w:hint="eastAsia"/>
                <w:color w:val="auto"/>
                <w:highlight w:val="none"/>
              </w:rPr>
              <w:t xml:space="preserve">★</w:t>
            </w:r>
            <w:r>
              <w:rPr>
                <w:color w:val="auto"/>
                <w:highlight w:val="none"/>
              </w:rPr>
              <w:t xml:space="preserve">竖直静区（竖直</w:t>
            </w:r>
            <w:r>
              <w:rPr>
                <w:rFonts w:hint="eastAsia"/>
                <w:color w:val="auto"/>
                <w:highlight w:val="none"/>
              </w:rPr>
              <w:t xml:space="preserve">1</w:t>
            </w:r>
            <w:r>
              <w:rPr>
                <w:color w:val="auto"/>
                <w:highlight w:val="none"/>
              </w:rPr>
              <w:t xml:space="preserve">m）：</w:t>
            </w:r>
            <w:r/>
          </w:p>
          <w:p>
            <w:pPr>
              <w:rPr>
                <w:color w:val="auto"/>
                <w:highlight w:val="none"/>
              </w:rPr>
            </w:pPr>
            <w:r>
              <w:rPr>
                <w:color w:val="auto"/>
                <w:highlight w:val="none"/>
              </w:rPr>
              <w:t xml:space="preserve">幅度锥削：≤1dB；</w:t>
            </w:r>
            <w:r/>
          </w:p>
          <w:p>
            <w:pPr>
              <w:rPr>
                <w:color w:val="auto"/>
                <w:highlight w:val="none"/>
              </w:rPr>
            </w:pPr>
            <w:r>
              <w:rPr>
                <w:color w:val="auto"/>
                <w:highlight w:val="none"/>
              </w:rPr>
              <w:t xml:space="preserve">幅度波纹：≤±1.2dB；</w:t>
            </w:r>
            <w:r/>
          </w:p>
          <w:p>
            <w:pPr>
              <w:rPr>
                <w:color w:val="auto"/>
                <w:highlight w:val="none"/>
              </w:rPr>
            </w:pPr>
            <w:r>
              <w:rPr>
                <w:color w:val="auto"/>
                <w:highlight w:val="none"/>
              </w:rPr>
              <w:t xml:space="preserve">相位平坦度：≤15°；</w:t>
            </w:r>
            <w:r/>
          </w:p>
          <w:p>
            <w:pPr>
              <w:rPr>
                <w:color w:val="auto"/>
                <w:highlight w:val="none"/>
              </w:rPr>
            </w:pPr>
            <w:r>
              <w:rPr>
                <w:color w:val="auto"/>
                <w:highlight w:val="none"/>
              </w:rPr>
              <w:t xml:space="preserve">水平静区（水平</w:t>
            </w:r>
            <w:r>
              <w:rPr>
                <w:rFonts w:hint="eastAsia"/>
                <w:color w:val="auto"/>
                <w:highlight w:val="none"/>
              </w:rPr>
              <w:t xml:space="preserve">1</w:t>
            </w:r>
            <w:r>
              <w:rPr>
                <w:color w:val="auto"/>
                <w:highlight w:val="none"/>
              </w:rPr>
              <w:t xml:space="preserve">m）：</w:t>
            </w:r>
            <w:r/>
          </w:p>
          <w:p>
            <w:pPr>
              <w:rPr>
                <w:color w:val="auto"/>
                <w:highlight w:val="none"/>
              </w:rPr>
            </w:pPr>
            <w:r>
              <w:rPr>
                <w:color w:val="auto"/>
                <w:highlight w:val="none"/>
              </w:rPr>
              <w:t xml:space="preserve">幅度锥削：≤4dB；</w:t>
            </w:r>
            <w:r/>
          </w:p>
          <w:p>
            <w:pPr>
              <w:rPr>
                <w:color w:val="auto"/>
                <w:highlight w:val="none"/>
              </w:rPr>
            </w:pPr>
            <w:r>
              <w:rPr>
                <w:color w:val="auto"/>
                <w:highlight w:val="none"/>
              </w:rPr>
              <w:t xml:space="preserve">幅度波纹：≤±1dB；</w:t>
            </w:r>
            <w:r/>
          </w:p>
          <w:p>
            <w:pPr>
              <w:pStyle w:val="947"/>
              <w:ind w:firstLine="0"/>
              <w:rPr>
                <w:color w:val="auto"/>
                <w:highlight w:val="none"/>
              </w:rPr>
            </w:pPr>
            <w:r>
              <w:rPr>
                <w:color w:val="auto"/>
                <w:highlight w:val="none"/>
              </w:rPr>
              <w:t xml:space="preserve">相位平坦度：≤20°；</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2.10.3</w:t>
            </w:r>
            <w:r/>
          </w:p>
        </w:tc>
        <w:tc>
          <w:tcPr>
            <w:tcW w:w="6945" w:type="dxa"/>
            <w:vAlign w:val="top"/>
            <w:textDirection w:val="lrTb"/>
            <w:noWrap w:val="false"/>
          </w:tcPr>
          <w:p>
            <w:pPr>
              <w:rPr>
                <w:color w:val="auto"/>
                <w:highlight w:val="none"/>
              </w:rPr>
            </w:pPr>
            <w:r>
              <w:rPr>
                <w:rFonts w:hint="eastAsia"/>
                <w:color w:val="auto"/>
                <w:highlight w:val="none"/>
              </w:rPr>
              <w:t xml:space="preserve">★</w:t>
            </w:r>
            <w:r>
              <w:rPr>
                <w:color w:val="auto"/>
                <w:highlight w:val="none"/>
              </w:rPr>
              <w:t xml:space="preserve">低频线阵具备3维成像能力，成像分辨率优于8cm；提供近远场</w:t>
            </w:r>
            <w:r>
              <w:rPr>
                <w:rFonts w:hint="eastAsia"/>
                <w:color w:val="auto"/>
                <w:highlight w:val="none"/>
              </w:rPr>
              <w:t xml:space="preserve">变换</w:t>
            </w:r>
            <w:r>
              <w:rPr>
                <w:color w:val="auto"/>
                <w:highlight w:val="none"/>
              </w:rPr>
              <w:t xml:space="preserve">算法，</w:t>
            </w:r>
            <w:r>
              <w:rPr>
                <w:rFonts w:hint="eastAsia"/>
                <w:color w:val="auto"/>
                <w:highlight w:val="none"/>
              </w:rPr>
              <w:t xml:space="preserve">可实现</w:t>
            </w:r>
            <w:r>
              <w:rPr>
                <w:color w:val="auto"/>
                <w:highlight w:val="none"/>
              </w:rPr>
              <w:t xml:space="preserve">近远场转换能力，1米长金属圆柱体</w:t>
            </w:r>
            <w:r>
              <w:rPr>
                <w:rFonts w:hint="eastAsia"/>
                <w:color w:val="auto"/>
                <w:highlight w:val="none"/>
              </w:rPr>
              <w:t xml:space="preserve">（圆柱体直径</w:t>
            </w:r>
            <w:r>
              <w:rPr>
                <w:color w:val="auto"/>
                <w:highlight w:val="none"/>
              </w:rPr>
              <w:t xml:space="preserve">114</w:t>
            </w:r>
            <w:r>
              <w:rPr>
                <w:rFonts w:hint="eastAsia"/>
                <w:color w:val="auto"/>
                <w:highlight w:val="none"/>
              </w:rPr>
              <w:t xml:space="preserve">mm±</w:t>
            </w:r>
            <w:r>
              <w:rPr>
                <w:color w:val="auto"/>
                <w:highlight w:val="none"/>
              </w:rPr>
              <w:t xml:space="preserve">5</w:t>
            </w:r>
            <w:r>
              <w:rPr>
                <w:rFonts w:hint="eastAsia"/>
                <w:color w:val="auto"/>
                <w:highlight w:val="none"/>
              </w:rPr>
              <w:t xml:space="preserve">mm）</w:t>
            </w:r>
            <w:r>
              <w:rPr>
                <w:color w:val="auto"/>
                <w:highlight w:val="none"/>
              </w:rPr>
              <w:t xml:space="preserve">RCS测试精度优于1dB（平均值）。</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 w:val="18"/>
                <w:szCs w:val="18"/>
                <w:highlight w:val="none"/>
              </w:rPr>
            </w:pPr>
            <w:r>
              <w:rPr>
                <w:rFonts w:hint="eastAsia"/>
                <w:color w:val="auto"/>
                <w:szCs w:val="21"/>
                <w:highlight w:val="none"/>
              </w:rPr>
              <w:t xml:space="preserve">2.11</w:t>
            </w:r>
            <w:r/>
          </w:p>
        </w:tc>
        <w:tc>
          <w:tcPr>
            <w:tcW w:w="6945" w:type="dxa"/>
            <w:vAlign w:val="top"/>
            <w:textDirection w:val="lrTb"/>
            <w:noWrap w:val="false"/>
          </w:tcPr>
          <w:p>
            <w:pPr>
              <w:rPr>
                <w:rFonts w:hint="eastAsia"/>
                <w:color w:val="auto"/>
                <w:highlight w:val="none"/>
              </w:rPr>
            </w:pPr>
            <w:r>
              <w:rPr>
                <w:color w:val="auto"/>
                <w:szCs w:val="21"/>
                <w:highlight w:val="none"/>
              </w:rPr>
              <w:t xml:space="preserve">单站模式下静区尺寸：≥Φ2m×2m（圆柱体）@2GHz～110GHz；</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 w:val="18"/>
                <w:szCs w:val="18"/>
                <w:highlight w:val="none"/>
              </w:rPr>
            </w:pPr>
            <w:r>
              <w:rPr>
                <w:rFonts w:hint="eastAsia"/>
                <w:color w:val="auto"/>
                <w:szCs w:val="21"/>
                <w:highlight w:val="none"/>
              </w:rPr>
              <w:t xml:space="preserve">2.12</w:t>
            </w:r>
            <w:r/>
          </w:p>
        </w:tc>
        <w:tc>
          <w:tcPr>
            <w:tcW w:w="6945" w:type="dxa"/>
            <w:vAlign w:val="top"/>
            <w:textDirection w:val="lrTb"/>
            <w:noWrap w:val="false"/>
          </w:tcPr>
          <w:p>
            <w:pPr>
              <w:rPr>
                <w:rFonts w:hint="eastAsia"/>
                <w:color w:val="auto"/>
                <w:highlight w:val="none"/>
              </w:rPr>
            </w:pPr>
            <w:r>
              <w:rPr>
                <w:color w:val="auto"/>
                <w:szCs w:val="21"/>
                <w:highlight w:val="none"/>
              </w:rPr>
              <w:t xml:space="preserve">单站模式下静区尺寸：≥Φ1m×1m（圆柱体）@1GHz～2GHz；</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 w:val="18"/>
                <w:szCs w:val="18"/>
                <w:highlight w:val="none"/>
              </w:rPr>
            </w:pPr>
            <w:r>
              <w:rPr>
                <w:rFonts w:hint="eastAsia"/>
                <w:color w:val="auto"/>
                <w:szCs w:val="21"/>
                <w:highlight w:val="none"/>
              </w:rPr>
              <w:t xml:space="preserve">2.13</w:t>
            </w:r>
            <w:r/>
          </w:p>
        </w:tc>
        <w:tc>
          <w:tcPr>
            <w:tcW w:w="6945" w:type="dxa"/>
            <w:vAlign w:val="top"/>
            <w:textDirection w:val="lrTb"/>
            <w:noWrap w:val="false"/>
          </w:tcPr>
          <w:p>
            <w:pPr>
              <w:rPr>
                <w:rFonts w:hint="eastAsia"/>
                <w:color w:val="auto"/>
                <w:highlight w:val="none"/>
              </w:rPr>
            </w:pPr>
            <w:r>
              <w:rPr>
                <w:color w:val="auto"/>
                <w:szCs w:val="21"/>
                <w:highlight w:val="none"/>
              </w:rPr>
              <w:t xml:space="preserve">双站模式下静区尺寸：≥Φ1m×1m（圆柱体）@1GHz～110GHz；</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 w:val="18"/>
                <w:szCs w:val="18"/>
                <w:highlight w:val="none"/>
              </w:rPr>
            </w:pPr>
            <w:r>
              <w:rPr>
                <w:rFonts w:hint="eastAsia"/>
                <w:color w:val="auto"/>
                <w:szCs w:val="21"/>
                <w:highlight w:val="none"/>
              </w:rPr>
              <w:t xml:space="preserve">2.14</w:t>
            </w:r>
            <w:r/>
          </w:p>
        </w:tc>
        <w:tc>
          <w:tcPr>
            <w:tcW w:w="6945" w:type="dxa"/>
            <w:vAlign w:val="top"/>
            <w:textDirection w:val="lrTb"/>
            <w:noWrap w:val="false"/>
          </w:tcPr>
          <w:p>
            <w:pPr>
              <w:pStyle w:val="947"/>
              <w:ind w:firstLine="0"/>
              <w:rPr>
                <w:color w:val="auto"/>
                <w:highlight w:val="none"/>
              </w:rPr>
            </w:pPr>
            <w:r>
              <w:rPr>
                <w:rFonts w:hint="eastAsia"/>
                <w:color w:val="auto"/>
                <w:highlight w:val="none"/>
              </w:rPr>
              <w:t xml:space="preserve">主反射面幅度平坦度：≤2dB；</w:t>
            </w:r>
            <w:r/>
          </w:p>
          <w:p>
            <w:pPr>
              <w:rPr>
                <w:rFonts w:hint="eastAsia"/>
                <w:color w:val="auto"/>
                <w:highlight w:val="none"/>
              </w:rPr>
            </w:pPr>
            <w:r>
              <w:rPr>
                <w:rFonts w:hint="eastAsia"/>
                <w:color w:val="auto"/>
                <w:highlight w:val="none"/>
              </w:rPr>
              <w:t xml:space="preserve">副反射面幅度平坦度：≤2.2dB</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 w:val="18"/>
                <w:szCs w:val="18"/>
                <w:highlight w:val="none"/>
              </w:rPr>
            </w:pPr>
            <w:r>
              <w:rPr>
                <w:rFonts w:hint="eastAsia"/>
                <w:color w:val="auto"/>
                <w:szCs w:val="21"/>
                <w:highlight w:val="none"/>
              </w:rPr>
              <w:t xml:space="preserve">2.15</w:t>
            </w:r>
            <w:r/>
          </w:p>
        </w:tc>
        <w:tc>
          <w:tcPr>
            <w:tcW w:w="6945" w:type="dxa"/>
            <w:vAlign w:val="top"/>
            <w:textDirection w:val="lrTb"/>
            <w:noWrap w:val="false"/>
          </w:tcPr>
          <w:p>
            <w:pPr>
              <w:rPr>
                <w:rFonts w:hint="eastAsia"/>
                <w:color w:val="auto"/>
                <w:highlight w:val="none"/>
              </w:rPr>
            </w:pPr>
            <w:r>
              <w:rPr>
                <w:rFonts w:hint="eastAsia"/>
                <w:color w:val="auto"/>
                <w:highlight w:val="none"/>
              </w:rPr>
              <w:t xml:space="preserve">★主反射面和副反射面静区</w:t>
            </w:r>
            <w:r>
              <w:rPr>
                <w:color w:val="auto"/>
                <w:highlight w:val="none"/>
              </w:rPr>
              <w:t xml:space="preserve">幅度锥削：≤1dB；</w:t>
            </w:r>
            <w:r>
              <w:rPr>
                <w:rFonts w:hint="eastAsia"/>
                <w:color w:val="auto"/>
                <w:highlight w:val="none"/>
              </w:rPr>
              <w:t xml:space="preserve"> </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 w:val="18"/>
                <w:szCs w:val="18"/>
                <w:highlight w:val="none"/>
              </w:rPr>
            </w:pPr>
            <w:r>
              <w:rPr>
                <w:rFonts w:hint="eastAsia"/>
                <w:color w:val="auto"/>
                <w:szCs w:val="21"/>
                <w:highlight w:val="none"/>
              </w:rPr>
              <w:t xml:space="preserve">2.16</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主反射面静区</w:t>
            </w:r>
            <w:r>
              <w:rPr>
                <w:color w:val="auto"/>
                <w:szCs w:val="21"/>
                <w:highlight w:val="none"/>
              </w:rPr>
              <w:t xml:space="preserve">幅度波纹：≤±</w:t>
            </w:r>
            <w:r>
              <w:rPr>
                <w:rFonts w:hint="eastAsia"/>
                <w:color w:val="auto"/>
                <w:szCs w:val="21"/>
                <w:highlight w:val="none"/>
              </w:rPr>
              <w:t xml:space="preserve">0.5</w:t>
            </w:r>
            <w:r>
              <w:rPr>
                <w:color w:val="auto"/>
                <w:szCs w:val="21"/>
                <w:highlight w:val="none"/>
              </w:rPr>
              <w:t xml:space="preserve">dB；</w:t>
            </w:r>
            <w:r/>
          </w:p>
          <w:p>
            <w:pPr>
              <w:pStyle w:val="947"/>
              <w:ind w:firstLine="0"/>
              <w:rPr>
                <w:rFonts w:hint="eastAsia"/>
                <w:color w:val="auto"/>
                <w:highlight w:val="none"/>
              </w:rPr>
            </w:pPr>
            <w:r>
              <w:rPr>
                <w:rFonts w:hint="eastAsia"/>
                <w:color w:val="auto"/>
                <w:highlight w:val="none"/>
              </w:rPr>
              <w:t xml:space="preserve">副反射面静区幅度波纹：≤±0.6dB</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2.17</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静区</w:t>
            </w:r>
            <w:r>
              <w:rPr>
                <w:color w:val="auto"/>
                <w:szCs w:val="21"/>
                <w:highlight w:val="none"/>
              </w:rPr>
              <w:t xml:space="preserve">相位平坦度：≤±10°@1GHz～2GHz；</w:t>
            </w:r>
            <w:r/>
          </w:p>
          <w:p>
            <w:pPr>
              <w:ind w:firstLine="1680"/>
              <w:rPr>
                <w:color w:val="auto"/>
                <w:szCs w:val="21"/>
                <w:highlight w:val="none"/>
              </w:rPr>
            </w:pPr>
            <w:r>
              <w:rPr>
                <w:color w:val="auto"/>
                <w:szCs w:val="21"/>
                <w:highlight w:val="none"/>
              </w:rPr>
              <w:t xml:space="preserve">≤±5°@2GHz～40GHz；</w:t>
            </w:r>
            <w:r/>
          </w:p>
          <w:p>
            <w:pPr>
              <w:ind w:firstLine="1680"/>
              <w:rPr>
                <w:rFonts w:hint="eastAsia"/>
                <w:color w:val="auto"/>
                <w:szCs w:val="21"/>
                <w:highlight w:val="none"/>
              </w:rPr>
            </w:pPr>
            <w:r>
              <w:rPr>
                <w:color w:val="auto"/>
                <w:szCs w:val="21"/>
                <w:highlight w:val="none"/>
              </w:rPr>
              <w:t xml:space="preserve">≤±10°@40GHz～110GHz；</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2.18</w:t>
            </w:r>
            <w:r/>
          </w:p>
        </w:tc>
        <w:tc>
          <w:tcPr>
            <w:tcW w:w="6945" w:type="dxa"/>
            <w:vAlign w:val="top"/>
            <w:textDirection w:val="lrTb"/>
            <w:noWrap w:val="false"/>
          </w:tcPr>
          <w:p>
            <w:pPr>
              <w:rPr>
                <w:rFonts w:hint="eastAsia"/>
                <w:color w:val="auto"/>
                <w:szCs w:val="21"/>
                <w:highlight w:val="none"/>
              </w:rPr>
            </w:pPr>
            <w:r>
              <w:rPr>
                <w:rFonts w:hint="eastAsia"/>
                <w:color w:val="auto"/>
                <w:highlight w:val="none"/>
              </w:rPr>
              <w:t xml:space="preserve">静区</w:t>
            </w:r>
            <w:r>
              <w:rPr>
                <w:color w:val="auto"/>
                <w:highlight w:val="none"/>
              </w:rPr>
              <w:t xml:space="preserve">交叉极化（典型值）：≤-27dB</w:t>
            </w:r>
            <w:r>
              <w:rPr>
                <w:rFonts w:hint="eastAsia"/>
                <w:color w:val="auto"/>
                <w:highlight w:val="none"/>
              </w:rPr>
              <w:t xml:space="preserve">；</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2.19</w:t>
            </w:r>
            <w:r/>
          </w:p>
        </w:tc>
        <w:tc>
          <w:tcPr>
            <w:tcW w:w="6945" w:type="dxa"/>
            <w:vAlign w:val="top"/>
            <w:textDirection w:val="lrTb"/>
            <w:noWrap w:val="false"/>
          </w:tcPr>
          <w:p>
            <w:pPr>
              <w:rPr>
                <w:color w:val="auto"/>
                <w:highlight w:val="none"/>
              </w:rPr>
            </w:pPr>
            <w:r>
              <w:rPr>
                <w:rFonts w:hint="eastAsia"/>
                <w:color w:val="auto"/>
                <w:highlight w:val="none"/>
              </w:rPr>
              <w:t xml:space="preserve">★目标回波测试指标：</w:t>
            </w:r>
            <w:r>
              <w:rPr>
                <w:color w:val="auto"/>
                <w:highlight w:val="none"/>
              </w:rPr>
              <w:t xml:space="preserve">单站模式下空室背景回波信号（矢量背景对消后）：</w:t>
            </w:r>
            <w:r/>
          </w:p>
          <w:p>
            <w:pPr>
              <w:rPr>
                <w:color w:val="auto"/>
                <w:highlight w:val="none"/>
              </w:rPr>
            </w:pPr>
            <w:r>
              <w:rPr>
                <w:color w:val="auto"/>
                <w:highlight w:val="none"/>
              </w:rPr>
              <w:t xml:space="preserve">≤-55dBsm@1GHz～2GHz；</w:t>
            </w:r>
            <w:r/>
          </w:p>
          <w:p>
            <w:pPr>
              <w:rPr>
                <w:color w:val="auto"/>
                <w:highlight w:val="none"/>
              </w:rPr>
            </w:pPr>
            <w:r>
              <w:rPr>
                <w:color w:val="auto"/>
                <w:highlight w:val="none"/>
              </w:rPr>
              <w:t xml:space="preserve">≤-65dBsm@2GHz～40GHz；</w:t>
            </w:r>
            <w:r/>
          </w:p>
          <w:p>
            <w:pPr>
              <w:rPr>
                <w:color w:val="auto"/>
                <w:highlight w:val="none"/>
              </w:rPr>
            </w:pPr>
            <w:r>
              <w:rPr>
                <w:color w:val="auto"/>
                <w:highlight w:val="none"/>
              </w:rPr>
              <w:t xml:space="preserve">≤-65dBsm@40GHz～110GHz；</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2.20</w:t>
            </w:r>
            <w:r/>
          </w:p>
        </w:tc>
        <w:tc>
          <w:tcPr>
            <w:tcW w:w="6945" w:type="dxa"/>
            <w:vAlign w:val="top"/>
            <w:textDirection w:val="lrTb"/>
            <w:noWrap w:val="false"/>
          </w:tcPr>
          <w:p>
            <w:pPr>
              <w:rPr>
                <w:color w:val="auto"/>
                <w:highlight w:val="none"/>
              </w:rPr>
            </w:pPr>
            <w:r>
              <w:rPr>
                <w:rFonts w:hint="eastAsia"/>
                <w:color w:val="auto"/>
                <w:highlight w:val="none"/>
              </w:rPr>
              <w:t xml:space="preserve">目标回波测试指标：</w:t>
            </w:r>
            <w:r>
              <w:rPr>
                <w:color w:val="auto"/>
                <w:highlight w:val="none"/>
              </w:rPr>
              <w:t xml:space="preserve">双站模式下空室背景回波信号（矢量背景对消后）：</w:t>
            </w:r>
            <w:r/>
          </w:p>
          <w:p>
            <w:pPr>
              <w:rPr>
                <w:color w:val="auto"/>
                <w:highlight w:val="none"/>
              </w:rPr>
            </w:pPr>
            <w:r>
              <w:rPr>
                <w:color w:val="auto"/>
                <w:highlight w:val="none"/>
              </w:rPr>
              <w:t xml:space="preserve">≤-65dBsm@1GHz～40GHz； </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2.21</w:t>
            </w:r>
            <w:r/>
          </w:p>
        </w:tc>
        <w:tc>
          <w:tcPr>
            <w:tcW w:w="6945" w:type="dxa"/>
            <w:vAlign w:val="top"/>
            <w:textDirection w:val="lrTb"/>
            <w:noWrap w:val="false"/>
          </w:tcPr>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紧缩场测试系统支持双站RCS测试，测试频率覆盖1GHz-40GHz，</w:t>
            </w:r>
            <w:r>
              <w:rPr>
                <w:color w:val="auto"/>
                <w:highlight w:val="none"/>
              </w:rPr>
              <w:t xml:space="preserve">双站模式覆盖</w:t>
            </w:r>
            <w:r>
              <w:rPr>
                <w:rFonts w:hint="eastAsia"/>
                <w:color w:val="auto"/>
                <w:highlight w:val="none"/>
              </w:rPr>
              <w:t xml:space="preserve">方位角</w:t>
            </w:r>
            <w:r>
              <w:rPr>
                <w:color w:val="auto"/>
                <w:highlight w:val="none"/>
              </w:rPr>
              <w:t xml:space="preserve">角度：≥300°；</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2.22</w:t>
            </w:r>
            <w:r/>
          </w:p>
        </w:tc>
        <w:tc>
          <w:tcPr>
            <w:tcW w:w="6945" w:type="dxa"/>
            <w:vAlign w:val="top"/>
            <w:textDirection w:val="lrTb"/>
            <w:noWrap w:val="false"/>
          </w:tcPr>
          <w:p>
            <w:pPr>
              <w:rPr>
                <w:rFonts w:hint="eastAsia"/>
                <w:color w:val="auto"/>
                <w:highlight w:val="none"/>
              </w:rPr>
            </w:pPr>
            <w:r>
              <w:rPr>
                <w:color w:val="auto"/>
                <w:highlight w:val="none"/>
              </w:rPr>
              <w:t xml:space="preserve">目标回波测量精度：±1dB@-30dBsm（1GHz～</w:t>
            </w:r>
            <w:r>
              <w:rPr>
                <w:rFonts w:hint="eastAsia"/>
                <w:color w:val="auto"/>
                <w:highlight w:val="none"/>
              </w:rPr>
              <w:t xml:space="preserve">4</w:t>
            </w:r>
            <w:r>
              <w:rPr>
                <w:color w:val="auto"/>
                <w:highlight w:val="none"/>
              </w:rPr>
              <w:t xml:space="preserve">GHz）；</w:t>
            </w:r>
            <w:r/>
          </w:p>
          <w:p>
            <w:pPr>
              <w:ind w:firstLine="1890"/>
              <w:rPr>
                <w:color w:val="auto"/>
                <w:highlight w:val="none"/>
              </w:rPr>
            </w:pPr>
            <w:r>
              <w:rPr>
                <w:color w:val="auto"/>
                <w:highlight w:val="none"/>
              </w:rPr>
              <w:t xml:space="preserve">±1dB@-</w:t>
            </w:r>
            <w:r>
              <w:rPr>
                <w:rFonts w:hint="eastAsia"/>
                <w:color w:val="auto"/>
                <w:highlight w:val="none"/>
              </w:rPr>
              <w:t xml:space="preserve">4</w:t>
            </w:r>
            <w:r>
              <w:rPr>
                <w:color w:val="auto"/>
                <w:highlight w:val="none"/>
              </w:rPr>
              <w:t xml:space="preserve">0dBsm（</w:t>
            </w:r>
            <w:r>
              <w:rPr>
                <w:rFonts w:hint="eastAsia"/>
                <w:color w:val="auto"/>
                <w:highlight w:val="none"/>
              </w:rPr>
              <w:t xml:space="preserve">4</w:t>
            </w:r>
            <w:r>
              <w:rPr>
                <w:color w:val="auto"/>
                <w:highlight w:val="none"/>
              </w:rPr>
              <w:t xml:space="preserve">GHz～40GHz）</w:t>
            </w:r>
            <w:r>
              <w:rPr>
                <w:rFonts w:hint="eastAsia"/>
                <w:color w:val="auto"/>
                <w:highlight w:val="none"/>
              </w:rPr>
              <w:t xml:space="preserve">；</w:t>
            </w:r>
            <w:r>
              <w:rPr>
                <w:color w:val="auto"/>
                <w:highlight w:val="none"/>
              </w:rPr>
              <w:t xml:space="preserve"> </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restart"/>
            <w:textDirection w:val="lrTb"/>
            <w:noWrap w:val="false"/>
          </w:tcPr>
          <w:p>
            <w:pPr>
              <w:jc w:val="center"/>
              <w:rPr>
                <w:rFonts w:hint="eastAsia"/>
                <w:color w:val="auto"/>
                <w:szCs w:val="21"/>
                <w:highlight w:val="none"/>
              </w:rPr>
            </w:pPr>
            <w:r>
              <w:rPr>
                <w:rFonts w:hint="eastAsia"/>
                <w:color w:val="auto"/>
                <w:szCs w:val="21"/>
                <w:highlight w:val="none"/>
              </w:rPr>
              <w:t xml:space="preserve">2.23</w:t>
            </w:r>
            <w:r/>
          </w:p>
          <w:p>
            <w:pPr>
              <w:pStyle w:val="947"/>
              <w:ind w:firstLine="0"/>
              <w:rPr>
                <w:rFonts w:hint="eastAsia"/>
                <w:color w:val="auto"/>
                <w:highlight w:val="none"/>
              </w:rPr>
            </w:pPr>
            <w:r>
              <w:rPr>
                <w:rFonts w:hint="eastAsia"/>
                <w:color w:val="auto"/>
                <w:highlight w:val="none"/>
              </w:rPr>
              <w:t xml:space="preserve">平面阵列</w:t>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2.23.1</w:t>
            </w:r>
            <w:r/>
          </w:p>
        </w:tc>
        <w:tc>
          <w:tcPr>
            <w:tcW w:w="6945" w:type="dxa"/>
            <w:vAlign w:val="top"/>
            <w:textDirection w:val="lrTb"/>
            <w:noWrap w:val="false"/>
          </w:tcPr>
          <w:p>
            <w:pPr>
              <w:rPr>
                <w:color w:val="auto"/>
                <w:highlight w:val="none"/>
              </w:rPr>
            </w:pPr>
            <w:r>
              <w:rPr>
                <w:rFonts w:hint="eastAsia"/>
                <w:color w:val="auto"/>
                <w:highlight w:val="none"/>
              </w:rPr>
              <w:t xml:space="preserve">具有独立的幅度相位通道</w:t>
            </w:r>
            <w:r>
              <w:rPr>
                <w:color w:val="auto"/>
                <w:highlight w:val="none"/>
              </w:rPr>
              <w:t xml:space="preserve">≥400</w:t>
            </w:r>
            <w:r>
              <w:rPr>
                <w:rFonts w:hint="eastAsia"/>
                <w:color w:val="auto"/>
                <w:highlight w:val="none"/>
              </w:rPr>
              <w:t xml:space="preserve">个；</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2.23.2</w:t>
            </w:r>
            <w:r/>
          </w:p>
        </w:tc>
        <w:tc>
          <w:tcPr>
            <w:tcW w:w="6945" w:type="dxa"/>
            <w:vAlign w:val="top"/>
            <w:textDirection w:val="lrTb"/>
            <w:noWrap w:val="false"/>
          </w:tcPr>
          <w:p>
            <w:pPr>
              <w:rPr>
                <w:color w:val="auto"/>
                <w:highlight w:val="none"/>
              </w:rPr>
            </w:pPr>
            <w:r>
              <w:rPr>
                <w:rFonts w:hint="eastAsia"/>
                <w:color w:val="auto"/>
                <w:highlight w:val="none"/>
              </w:rPr>
              <w:t xml:space="preserve">配备生成平面波静区的平面阵列天线，阵列的宽度≥</w:t>
            </w:r>
            <w:r>
              <w:rPr>
                <w:color w:val="auto"/>
                <w:highlight w:val="none"/>
              </w:rPr>
              <w:t xml:space="preserve">1.5</w:t>
            </w:r>
            <w:r>
              <w:rPr>
                <w:rFonts w:hint="eastAsia"/>
                <w:color w:val="auto"/>
                <w:highlight w:val="none"/>
              </w:rPr>
              <w:t xml:space="preserve">米，高度≥</w:t>
            </w:r>
            <w:r>
              <w:rPr>
                <w:color w:val="auto"/>
                <w:highlight w:val="none"/>
              </w:rPr>
              <w:t xml:space="preserve">1.5</w:t>
            </w:r>
            <w:r>
              <w:rPr>
                <w:rFonts w:hint="eastAsia"/>
                <w:color w:val="auto"/>
                <w:highlight w:val="none"/>
              </w:rPr>
              <w:t xml:space="preserve">米，静区范围</w:t>
            </w:r>
            <w:r>
              <w:rPr>
                <w:color w:val="auto"/>
                <w:highlight w:val="none"/>
              </w:rPr>
              <w:t xml:space="preserve">≥1</w:t>
            </w:r>
            <w:r>
              <w:rPr>
                <w:rFonts w:hint="eastAsia"/>
                <w:color w:val="auto"/>
                <w:highlight w:val="none"/>
              </w:rPr>
              <w:t xml:space="preserve">米；</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2.23.3</w:t>
            </w:r>
            <w:r/>
          </w:p>
        </w:tc>
        <w:tc>
          <w:tcPr>
            <w:tcW w:w="6945" w:type="dxa"/>
            <w:vAlign w:val="top"/>
            <w:textDirection w:val="lrTb"/>
            <w:noWrap w:val="false"/>
          </w:tcPr>
          <w:p>
            <w:pPr>
              <w:rPr>
                <w:rFonts w:hint="eastAsia"/>
                <w:color w:val="auto"/>
                <w:highlight w:val="none"/>
              </w:rPr>
            </w:pPr>
            <w:r>
              <w:rPr>
                <w:rFonts w:hint="eastAsia"/>
                <w:color w:val="auto"/>
                <w:highlight w:val="none"/>
              </w:rPr>
              <w:t xml:space="preserve">宽角域校准系统支持幅度调控范围</w:t>
            </w:r>
            <w:r>
              <w:rPr>
                <w:color w:val="auto"/>
                <w:highlight w:val="none"/>
              </w:rPr>
              <w:t xml:space="preserve">≥30dB</w:t>
            </w:r>
            <w:r>
              <w:rPr>
                <w:rFonts w:hint="eastAsia"/>
                <w:color w:val="auto"/>
                <w:highlight w:val="none"/>
              </w:rPr>
              <w:t xml:space="preserve">；</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2.23.4</w:t>
            </w:r>
            <w:r/>
          </w:p>
        </w:tc>
        <w:tc>
          <w:tcPr>
            <w:tcW w:w="6945" w:type="dxa"/>
            <w:vAlign w:val="top"/>
            <w:textDirection w:val="lrTb"/>
            <w:noWrap w:val="false"/>
          </w:tcPr>
          <w:p>
            <w:pPr>
              <w:rPr>
                <w:color w:val="auto"/>
                <w:highlight w:val="none"/>
              </w:rPr>
            </w:pPr>
            <w:r>
              <w:rPr>
                <w:rFonts w:hint="eastAsia"/>
                <w:color w:val="auto"/>
                <w:highlight w:val="none"/>
              </w:rPr>
              <w:t xml:space="preserve">宽角域校准系统支持幅度调控精度优于</w:t>
            </w:r>
            <w:r>
              <w:rPr>
                <w:color w:val="auto"/>
                <w:highlight w:val="none"/>
              </w:rPr>
              <w:t xml:space="preserve">±0.5dB</w:t>
            </w:r>
            <w:r>
              <w:rPr>
                <w:rFonts w:hint="eastAsia"/>
                <w:color w:val="auto"/>
                <w:highlight w:val="none"/>
              </w:rPr>
              <w:t xml:space="preserve">；</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2.23.5</w:t>
            </w:r>
            <w:r/>
          </w:p>
        </w:tc>
        <w:tc>
          <w:tcPr>
            <w:tcW w:w="6945" w:type="dxa"/>
            <w:vAlign w:val="top"/>
            <w:textDirection w:val="lrTb"/>
            <w:noWrap w:val="false"/>
          </w:tcPr>
          <w:p>
            <w:pPr>
              <w:rPr>
                <w:color w:val="auto"/>
                <w:highlight w:val="none"/>
              </w:rPr>
            </w:pPr>
            <w:r>
              <w:rPr>
                <w:rFonts w:hint="eastAsia"/>
                <w:color w:val="auto"/>
                <w:highlight w:val="none"/>
              </w:rPr>
              <w:t xml:space="preserve">宽角域校准系统支持相位调控范围：</w:t>
            </w:r>
            <w:r>
              <w:rPr>
                <w:color w:val="auto"/>
                <w:highlight w:val="none"/>
              </w:rPr>
              <w:t xml:space="preserve">0°~360°</w:t>
            </w:r>
            <w:r>
              <w:rPr>
                <w:rFonts w:hint="eastAsia"/>
                <w:color w:val="auto"/>
                <w:highlight w:val="none"/>
              </w:rPr>
              <w:t xml:space="preserve">；</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2.23.6</w:t>
            </w:r>
            <w:r/>
          </w:p>
        </w:tc>
        <w:tc>
          <w:tcPr>
            <w:tcW w:w="6945" w:type="dxa"/>
            <w:vAlign w:val="top"/>
            <w:textDirection w:val="lrTb"/>
            <w:noWrap w:val="false"/>
          </w:tcPr>
          <w:p>
            <w:pPr>
              <w:rPr>
                <w:color w:val="auto"/>
                <w:highlight w:val="none"/>
              </w:rPr>
            </w:pPr>
            <w:r>
              <w:rPr>
                <w:rFonts w:hint="eastAsia"/>
                <w:color w:val="auto"/>
                <w:highlight w:val="none"/>
              </w:rPr>
              <w:t xml:space="preserve">宽角域校准系统支持相位调控步进</w:t>
            </w:r>
            <w:r>
              <w:rPr>
                <w:color w:val="auto"/>
                <w:highlight w:val="none"/>
              </w:rPr>
              <w:t xml:space="preserve">≤2°</w:t>
            </w:r>
            <w:r>
              <w:rPr>
                <w:rFonts w:hint="eastAsia"/>
                <w:color w:val="auto"/>
                <w:highlight w:val="none"/>
              </w:rPr>
              <w:t xml:space="preserve">；</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2.23.7</w:t>
            </w:r>
            <w:r/>
          </w:p>
        </w:tc>
        <w:tc>
          <w:tcPr>
            <w:tcW w:w="6945" w:type="dxa"/>
            <w:vAlign w:val="top"/>
            <w:textDirection w:val="lrTb"/>
            <w:noWrap w:val="false"/>
          </w:tcPr>
          <w:p>
            <w:pPr>
              <w:rPr>
                <w:color w:val="auto"/>
                <w:highlight w:val="none"/>
              </w:rPr>
            </w:pPr>
            <w:r>
              <w:rPr>
                <w:rFonts w:hint="eastAsia"/>
                <w:color w:val="auto"/>
                <w:highlight w:val="none"/>
              </w:rPr>
              <w:t xml:space="preserve">支持通感基站宽角域宽带校准的能力，平面波方位角可调的能力</w:t>
            </w:r>
            <w:r>
              <w:rPr>
                <w:color w:val="auto"/>
                <w:highlight w:val="none"/>
              </w:rPr>
              <w:t xml:space="preserve">≥120°</w:t>
            </w:r>
            <w:r>
              <w:rPr>
                <w:rFonts w:hint="eastAsia"/>
                <w:color w:val="auto"/>
                <w:highlight w:val="none"/>
              </w:rPr>
              <w:t xml:space="preserve">；</w:t>
            </w:r>
            <w:r/>
          </w:p>
        </w:tc>
      </w:tr>
      <w:tr>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tcW w:w="709" w:type="dxa"/>
            <w:vAlign w:val="top"/>
            <w:vMerge w:val="continue"/>
            <w:textDirection w:val="lrTb"/>
            <w:noWrap w:val="false"/>
          </w:tcPr>
          <w:p>
            <w:pPr>
              <w:jc w:val="center"/>
              <w:rPr>
                <w:rFonts w:hint="eastAsia"/>
                <w:color w:val="auto"/>
                <w:szCs w:val="21"/>
                <w:highlight w:val="none"/>
              </w:rPr>
            </w:pPr>
            <w:r>
              <w:rPr>
                <w:rFonts w:hint="eastAsia"/>
                <w:color w:val="auto"/>
                <w:szCs w:val="21"/>
                <w:highlight w:val="none"/>
              </w:rPr>
            </w:r>
            <w:r/>
          </w:p>
        </w:tc>
        <w:tc>
          <w:tcPr>
            <w:tcW w:w="709" w:type="dxa"/>
            <w:vAlign w:val="top"/>
            <w:textDirection w:val="lrTb"/>
            <w:noWrap w:val="false"/>
          </w:tcPr>
          <w:p>
            <w:pPr>
              <w:jc w:val="center"/>
              <w:rPr>
                <w:rFonts w:hint="eastAsia"/>
                <w:color w:val="auto"/>
                <w:sz w:val="18"/>
                <w:szCs w:val="18"/>
                <w:highlight w:val="none"/>
              </w:rPr>
            </w:pPr>
            <w:r>
              <w:rPr>
                <w:rFonts w:hint="eastAsia"/>
                <w:color w:val="auto"/>
                <w:sz w:val="18"/>
                <w:szCs w:val="18"/>
                <w:highlight w:val="none"/>
              </w:rPr>
              <w:t xml:space="preserve">2.23.8</w:t>
            </w:r>
            <w:r/>
          </w:p>
        </w:tc>
        <w:tc>
          <w:tcPr>
            <w:tcW w:w="6945" w:type="dxa"/>
            <w:vAlign w:val="top"/>
            <w:textDirection w:val="lrTb"/>
            <w:noWrap w:val="false"/>
          </w:tcPr>
          <w:p>
            <w:pPr>
              <w:rPr>
                <w:color w:val="auto"/>
                <w:highlight w:val="none"/>
              </w:rPr>
            </w:pPr>
            <w:r>
              <w:rPr>
                <w:rFonts w:hint="eastAsia"/>
                <w:color w:val="auto"/>
                <w:highlight w:val="none"/>
              </w:rPr>
              <w:t xml:space="preserve">工作频率范围：</w:t>
            </w:r>
            <w:r>
              <w:rPr>
                <w:color w:val="auto"/>
                <w:highlight w:val="none"/>
              </w:rPr>
              <w:t xml:space="preserve">1~4GHz</w:t>
            </w:r>
            <w:r>
              <w:rPr>
                <w:rFonts w:hint="eastAsia"/>
                <w:color w:val="auto"/>
                <w:highlight w:val="none"/>
              </w:rPr>
              <w:t xml:space="preserve">；</w:t>
            </w:r>
            <w:r/>
          </w:p>
        </w:tc>
      </w:tr>
      <w:tr>
        <w:trPr>
          <w:trHeight w:val="1090"/>
        </w:trPr>
        <w:tc>
          <w:tcPr>
            <w:tcW w:w="1447" w:type="dxa"/>
            <w:vAlign w:val="top"/>
            <w:vMerge w:val="restart"/>
            <w:textDirection w:val="lrTb"/>
            <w:noWrap w:val="false"/>
          </w:tcPr>
          <w:p>
            <w:pPr>
              <w:jc w:val="left"/>
              <w:rPr>
                <w:rFonts w:hint="eastAsia"/>
                <w:color w:val="auto"/>
                <w:szCs w:val="21"/>
                <w:highlight w:val="none"/>
              </w:rPr>
            </w:pPr>
            <w:r>
              <w:rPr>
                <w:rFonts w:hint="eastAsia"/>
                <w:color w:val="auto"/>
                <w:szCs w:val="21"/>
                <w:highlight w:val="none"/>
              </w:rPr>
              <w:t xml:space="preserve">3.转台</w:t>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3.1</w:t>
            </w:r>
            <w:r/>
          </w:p>
        </w:tc>
        <w:tc>
          <w:tcPr>
            <w:tcW w:w="6945" w:type="dxa"/>
            <w:vAlign w:val="top"/>
            <w:textDirection w:val="lrTb"/>
            <w:noWrap w:val="false"/>
          </w:tcPr>
          <w:p>
            <w:pPr>
              <w:rPr>
                <w:color w:val="auto"/>
                <w:highlight w:val="none"/>
              </w:rPr>
            </w:pPr>
            <w:r>
              <w:rPr>
                <w:color w:val="auto"/>
                <w:highlight w:val="none"/>
              </w:rPr>
              <w:t xml:space="preserve">天线转台</w:t>
            </w:r>
            <w:r>
              <w:rPr>
                <w:rFonts w:hint="eastAsia"/>
                <w:color w:val="auto"/>
                <w:highlight w:val="none"/>
              </w:rPr>
              <w:t xml:space="preserve">1台，共4轴可操控，包含：</w:t>
            </w:r>
            <w:r/>
          </w:p>
          <w:p>
            <w:pPr>
              <w:rPr>
                <w:color w:val="auto"/>
                <w:highlight w:val="none"/>
              </w:rPr>
            </w:pPr>
            <w:r>
              <w:rPr>
                <w:color w:val="auto"/>
                <w:highlight w:val="none"/>
              </w:rPr>
              <w:t xml:space="preserve">极化轴：转动范围0°～360°，定位精度</w:t>
            </w:r>
            <w:r>
              <w:rPr>
                <w:rFonts w:hint="eastAsia"/>
                <w:color w:val="auto"/>
                <w:highlight w:val="none"/>
              </w:rPr>
              <w:t xml:space="preserve">满足</w:t>
            </w:r>
            <w:r>
              <w:rPr>
                <w:color w:val="auto"/>
                <w:highlight w:val="none"/>
              </w:rPr>
              <w:t xml:space="preserve">±0.03°，转动速度0.1°/s～9°/s（可调）；</w:t>
            </w:r>
            <w:r/>
          </w:p>
          <w:p>
            <w:pPr>
              <w:rPr>
                <w:color w:val="auto"/>
                <w:highlight w:val="none"/>
              </w:rPr>
            </w:pPr>
            <w:r/>
            <w:bookmarkStart w:id="201" w:name="OLE_LINK12"/>
            <w:r>
              <w:rPr>
                <w:color w:val="auto"/>
                <w:highlight w:val="none"/>
              </w:rPr>
              <w:t xml:space="preserve">方位轴：转动范围0°～360°，定位精度</w:t>
            </w:r>
            <w:r>
              <w:rPr>
                <w:rFonts w:hint="eastAsia"/>
                <w:color w:val="auto"/>
                <w:highlight w:val="none"/>
              </w:rPr>
              <w:t xml:space="preserve">满足</w:t>
            </w:r>
            <w:r>
              <w:rPr>
                <w:color w:val="auto"/>
                <w:highlight w:val="none"/>
              </w:rPr>
              <w:t xml:space="preserve">±0.03°，转动速度0.1°/s～5°/s（可调）；</w:t>
            </w:r>
            <w:bookmarkEnd w:id="201"/>
            <w:r/>
            <w:r/>
          </w:p>
          <w:p>
            <w:pPr>
              <w:rPr>
                <w:color w:val="auto"/>
                <w:highlight w:val="none"/>
              </w:rPr>
            </w:pPr>
            <w:r>
              <w:rPr>
                <w:color w:val="auto"/>
                <w:highlight w:val="none"/>
              </w:rPr>
              <w:t xml:space="preserve">俯仰轴：转动范围-10°～+</w:t>
            </w:r>
            <w:r>
              <w:rPr>
                <w:rFonts w:hint="eastAsia"/>
                <w:color w:val="auto"/>
                <w:highlight w:val="none"/>
              </w:rPr>
              <w:t xml:space="preserve">9</w:t>
            </w:r>
            <w:r>
              <w:rPr>
                <w:color w:val="auto"/>
                <w:highlight w:val="none"/>
              </w:rPr>
              <w:t xml:space="preserve">0°，定位精度</w:t>
            </w:r>
            <w:r>
              <w:rPr>
                <w:rFonts w:hint="eastAsia"/>
                <w:color w:val="auto"/>
                <w:highlight w:val="none"/>
              </w:rPr>
              <w:t xml:space="preserve">满足</w:t>
            </w:r>
            <w:r>
              <w:rPr>
                <w:color w:val="auto"/>
                <w:highlight w:val="none"/>
              </w:rPr>
              <w:t xml:space="preserve">±0.05°，转动速度0.1°/s～5°/s（可调）；</w:t>
            </w:r>
            <w:r/>
          </w:p>
          <w:p>
            <w:pPr>
              <w:rPr>
                <w:color w:val="auto"/>
                <w:highlight w:val="none"/>
              </w:rPr>
            </w:pPr>
            <w:r>
              <w:rPr>
                <w:color w:val="auto"/>
                <w:highlight w:val="none"/>
              </w:rPr>
              <w:t xml:space="preserve">平移轴：平移范围0～</w:t>
            </w:r>
            <w:r>
              <w:rPr>
                <w:rFonts w:hint="eastAsia"/>
                <w:color w:val="auto"/>
                <w:highlight w:val="none"/>
              </w:rPr>
              <w:t xml:space="preserve">600m</w:t>
            </w:r>
            <w:r>
              <w:rPr>
                <w:color w:val="auto"/>
                <w:highlight w:val="none"/>
              </w:rPr>
              <w:t xml:space="preserve">m，定位精度</w:t>
            </w:r>
            <w:r>
              <w:rPr>
                <w:rFonts w:hint="eastAsia"/>
                <w:color w:val="auto"/>
                <w:highlight w:val="none"/>
              </w:rPr>
              <w:t xml:space="preserve">满足</w:t>
            </w:r>
            <w:r>
              <w:rPr>
                <w:color w:val="auto"/>
                <w:highlight w:val="none"/>
              </w:rPr>
              <w:t xml:space="preserve">±1mm；</w:t>
            </w:r>
            <w:r/>
          </w:p>
          <w:p>
            <w:pPr>
              <w:pStyle w:val="947"/>
              <w:ind w:firstLine="0"/>
              <w:rPr>
                <w:rFonts w:hint="eastAsia"/>
                <w:color w:val="auto"/>
                <w:highlight w:val="none"/>
              </w:rPr>
            </w:pPr>
            <w:r>
              <w:rPr>
                <w:rFonts w:hint="eastAsia"/>
                <w:color w:val="auto"/>
                <w:highlight w:val="none"/>
              </w:rPr>
              <w:t xml:space="preserve">极化轴为被测物安装面，台面尺寸</w:t>
            </w:r>
            <w:r>
              <w:rPr>
                <w:rFonts w:hint="eastAsia"/>
                <w:color w:val="auto"/>
                <w:szCs w:val="21"/>
                <w:highlight w:val="none"/>
              </w:rPr>
              <w:t xml:space="preserve">：</w:t>
            </w:r>
            <w:r>
              <w:rPr>
                <w:rFonts w:hint="eastAsia"/>
                <w:color w:val="auto"/>
                <w:highlight w:val="none"/>
              </w:rPr>
              <w:t xml:space="preserve">ø≥300mm，至少平均分布8个M8安装螺纹孔；</w:t>
            </w:r>
            <w:r/>
          </w:p>
        </w:tc>
      </w:tr>
      <w:tr>
        <w:trPr>
          <w:trHeight w:val="407"/>
        </w:trPr>
        <w:tc>
          <w:tcPr>
            <w:tcW w:w="1447" w:type="dxa"/>
            <w:vAlign w:val="top"/>
            <w:vMerge w:val="continue"/>
            <w:textDirection w:val="lrTb"/>
            <w:noWrap w:val="false"/>
          </w:tcPr>
          <w:p>
            <w:pPr>
              <w:jc w:val="left"/>
              <w:rPr>
                <w:rFonts w:hint="eastAsia"/>
                <w:color w:val="auto"/>
                <w:szCs w:val="21"/>
                <w:highlight w:val="none"/>
              </w:rPr>
            </w:pPr>
            <w:r>
              <w:rPr>
                <w:rFonts w:hint="eastAsia"/>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3.2</w:t>
            </w:r>
            <w:r/>
          </w:p>
        </w:tc>
        <w:tc>
          <w:tcPr>
            <w:tcW w:w="6945" w:type="dxa"/>
            <w:vAlign w:val="top"/>
            <w:textDirection w:val="lrTb"/>
            <w:noWrap w:val="false"/>
          </w:tcPr>
          <w:p>
            <w:pPr>
              <w:rPr>
                <w:color w:val="auto"/>
                <w:highlight w:val="none"/>
              </w:rPr>
            </w:pPr>
            <w:r>
              <w:rPr>
                <w:rFonts w:hint="eastAsia"/>
                <w:color w:val="auto"/>
                <w:szCs w:val="21"/>
                <w:highlight w:val="none"/>
              </w:rPr>
              <w:t xml:space="preserve">天线转台承重：≥100kg；</w:t>
            </w:r>
            <w:r/>
          </w:p>
        </w:tc>
      </w:tr>
      <w:tr>
        <w:trPr>
          <w:trHeight w:val="545"/>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color w:val="auto"/>
                <w:szCs w:val="21"/>
                <w:highlight w:val="none"/>
              </w:rPr>
              <w:t xml:space="preserve">3.</w:t>
            </w:r>
            <w:r>
              <w:rPr>
                <w:rFonts w:hint="eastAsia"/>
                <w:color w:val="auto"/>
                <w:szCs w:val="21"/>
                <w:highlight w:val="none"/>
              </w:rPr>
              <w:t xml:space="preserve">3</w:t>
            </w:r>
            <w:r/>
          </w:p>
        </w:tc>
        <w:tc>
          <w:tcPr>
            <w:tcW w:w="6945" w:type="dxa"/>
            <w:vAlign w:val="top"/>
            <w:textDirection w:val="lrTb"/>
            <w:noWrap w:val="false"/>
          </w:tcPr>
          <w:p>
            <w:pPr>
              <w:rPr>
                <w:color w:val="auto"/>
                <w:highlight w:val="none"/>
              </w:rPr>
            </w:pPr>
            <w:r>
              <w:rPr>
                <w:color w:val="auto"/>
                <w:szCs w:val="21"/>
                <w:highlight w:val="none"/>
              </w:rPr>
              <w:t xml:space="preserve">RCS一维转台</w:t>
            </w:r>
            <w:r>
              <w:rPr>
                <w:rFonts w:hint="eastAsia"/>
                <w:color w:val="auto"/>
                <w:szCs w:val="21"/>
                <w:highlight w:val="none"/>
              </w:rPr>
              <w:t xml:space="preserve">1台；转台台面尺寸</w:t>
            </w:r>
            <w:bookmarkStart w:id="202" w:name="OLE_LINK7"/>
            <w:r>
              <w:rPr>
                <w:rFonts w:hint="eastAsia"/>
                <w:color w:val="auto"/>
                <w:szCs w:val="21"/>
                <w:highlight w:val="none"/>
              </w:rPr>
              <w:t xml:space="preserve">：</w:t>
            </w:r>
            <w:r>
              <w:rPr>
                <w:rFonts w:hint="eastAsia"/>
                <w:color w:val="auto"/>
                <w:highlight w:val="none"/>
              </w:rPr>
              <w:t xml:space="preserve">ø≥500mm</w:t>
            </w:r>
            <w:bookmarkEnd w:id="202"/>
            <w:r>
              <w:rPr>
                <w:rFonts w:hint="eastAsia"/>
                <w:color w:val="auto"/>
                <w:highlight w:val="none"/>
              </w:rPr>
              <w:t xml:space="preserve">；</w:t>
            </w:r>
            <w:r/>
          </w:p>
          <w:p>
            <w:pPr>
              <w:rPr>
                <w:rFonts w:hint="eastAsia"/>
                <w:color w:val="auto"/>
                <w:szCs w:val="21"/>
                <w:highlight w:val="none"/>
              </w:rPr>
            </w:pPr>
            <w:r>
              <w:rPr>
                <w:rFonts w:hint="eastAsia"/>
                <w:color w:val="auto"/>
                <w:highlight w:val="none"/>
              </w:rPr>
              <w:t xml:space="preserve">台面外围提供高度≥10厘米裙边，保护内部安装的泡沫支架；</w:t>
            </w:r>
            <w:r/>
          </w:p>
          <w:p>
            <w:pPr>
              <w:rPr>
                <w:rFonts w:hint="eastAsia"/>
                <w:color w:val="auto"/>
                <w:szCs w:val="21"/>
                <w:highlight w:val="none"/>
              </w:rPr>
            </w:pPr>
            <w:r>
              <w:rPr>
                <w:color w:val="auto"/>
                <w:szCs w:val="21"/>
                <w:highlight w:val="none"/>
              </w:rPr>
              <w:t xml:space="preserve">方位轴：转动范围0°～360°，定位精度</w:t>
            </w:r>
            <w:r>
              <w:rPr>
                <w:rFonts w:hint="eastAsia"/>
                <w:color w:val="auto"/>
                <w:highlight w:val="none"/>
              </w:rPr>
              <w:t xml:space="preserve">满足</w:t>
            </w:r>
            <w:r>
              <w:rPr>
                <w:color w:val="auto"/>
                <w:szCs w:val="21"/>
                <w:highlight w:val="none"/>
              </w:rPr>
              <w:t xml:space="preserve">±0.03°，转动速度0.1°/s～5°/s（可调）；</w:t>
            </w:r>
            <w:r/>
          </w:p>
        </w:tc>
      </w:tr>
      <w:tr>
        <w:trPr>
          <w:trHeight w:val="373"/>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3.4</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RCS转台承重：≥500kg；</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color w:val="auto"/>
                <w:szCs w:val="21"/>
                <w:highlight w:val="none"/>
              </w:rPr>
            </w:pPr>
            <w:r>
              <w:rPr>
                <w:color w:val="auto"/>
                <w:szCs w:val="21"/>
                <w:highlight w:val="none"/>
              </w:rPr>
              <w:t xml:space="preserve">3.</w:t>
            </w:r>
            <w:r>
              <w:rPr>
                <w:rFonts w:hint="eastAsia"/>
                <w:color w:val="auto"/>
                <w:szCs w:val="21"/>
                <w:highlight w:val="none"/>
              </w:rPr>
              <w:t xml:space="preserve">5</w:t>
            </w:r>
            <w:r/>
          </w:p>
        </w:tc>
        <w:tc>
          <w:tcPr>
            <w:tcW w:w="6945" w:type="dxa"/>
            <w:vAlign w:val="top"/>
            <w:textDirection w:val="lrTb"/>
            <w:noWrap w:val="false"/>
          </w:tcPr>
          <w:p>
            <w:pPr>
              <w:rPr>
                <w:color w:val="auto"/>
                <w:szCs w:val="21"/>
                <w:highlight w:val="none"/>
              </w:rPr>
            </w:pPr>
            <w:r>
              <w:rPr>
                <w:color w:val="auto"/>
                <w:szCs w:val="21"/>
                <w:highlight w:val="none"/>
              </w:rPr>
              <w:t xml:space="preserve">低散射泡沫支柱配备2种，承重分别为：50kg</w:t>
            </w:r>
            <w:r>
              <w:rPr>
                <w:rFonts w:hint="eastAsia"/>
                <w:color w:val="auto"/>
                <w:szCs w:val="21"/>
                <w:highlight w:val="none"/>
              </w:rPr>
              <w:t xml:space="preserve">和</w:t>
            </w:r>
            <w:r>
              <w:rPr>
                <w:color w:val="auto"/>
                <w:szCs w:val="21"/>
                <w:highlight w:val="none"/>
              </w:rPr>
              <w:t xml:space="preserve">100kg，要求泡沫支柱RCS值：≤-30dBsm@10GHz；</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3.6</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转台</w:t>
            </w:r>
            <w:r>
              <w:rPr>
                <w:color w:val="auto"/>
                <w:szCs w:val="21"/>
                <w:highlight w:val="none"/>
              </w:rPr>
              <w:t xml:space="preserve">控制模式：远程、手动；</w:t>
            </w:r>
            <w:r>
              <w:rPr>
                <w:rFonts w:hint="eastAsia"/>
                <w:color w:val="auto"/>
                <w:szCs w:val="21"/>
                <w:highlight w:val="none"/>
              </w:rPr>
              <w:t xml:space="preserve">转台控制器具有紧急停止功能，安装有急停按钮；</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3.7</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转台具有连续、步进运动工作模式，运动方向双向可旋转；</w:t>
            </w:r>
            <w:r/>
          </w:p>
        </w:tc>
      </w:tr>
      <w:tr>
        <w:trPr/>
        <w:tc>
          <w:tcPr>
            <w:tcW w:w="1447" w:type="dxa"/>
            <w:vAlign w:val="top"/>
            <w:vMerge w:val="continue"/>
            <w:textDirection w:val="lrTb"/>
            <w:noWrap w:val="false"/>
          </w:tcPr>
          <w:p>
            <w:pPr>
              <w:jc w:val="left"/>
              <w:rPr>
                <w:color w:val="auto"/>
                <w:szCs w:val="21"/>
                <w:highlight w:val="none"/>
              </w:rPr>
            </w:pPr>
            <w:r>
              <w:rPr>
                <w:color w:val="auto"/>
                <w:szCs w:val="21"/>
                <w:highlight w:val="none"/>
              </w:rPr>
            </w:r>
            <w:r/>
          </w:p>
        </w:tc>
        <w:tc>
          <w:tcPr>
            <w:gridSpan w:val="2"/>
            <w:tcW w:w="1418" w:type="dxa"/>
            <w:vAlign w:val="top"/>
            <w:textDirection w:val="lrTb"/>
            <w:noWrap w:val="false"/>
          </w:tcPr>
          <w:p>
            <w:pPr>
              <w:jc w:val="center"/>
              <w:rPr>
                <w:rFonts w:hint="eastAsia"/>
                <w:color w:val="auto"/>
                <w:szCs w:val="21"/>
                <w:highlight w:val="none"/>
              </w:rPr>
            </w:pPr>
            <w:r>
              <w:rPr>
                <w:rFonts w:hint="eastAsia"/>
                <w:color w:val="auto"/>
                <w:szCs w:val="21"/>
                <w:highlight w:val="none"/>
              </w:rPr>
              <w:t xml:space="preserve">3.8</w:t>
            </w:r>
            <w:r/>
          </w:p>
        </w:tc>
        <w:tc>
          <w:tcPr>
            <w:tcW w:w="6945" w:type="dxa"/>
            <w:vAlign w:val="top"/>
            <w:textDirection w:val="lrTb"/>
            <w:noWrap w:val="false"/>
          </w:tcPr>
          <w:p>
            <w:pPr>
              <w:rPr>
                <w:color w:val="auto"/>
                <w:szCs w:val="21"/>
                <w:highlight w:val="none"/>
              </w:rPr>
            </w:pPr>
            <w:r>
              <w:rPr>
                <w:rFonts w:hint="eastAsia"/>
                <w:color w:val="auto"/>
                <w:szCs w:val="21"/>
                <w:highlight w:val="none"/>
              </w:rPr>
              <w:t xml:space="preserve">转台</w:t>
            </w:r>
            <w:r>
              <w:rPr>
                <w:color w:val="auto"/>
                <w:szCs w:val="21"/>
                <w:highlight w:val="none"/>
              </w:rPr>
              <w:t xml:space="preserve">具有TTL电平触发信号，接口形式BNC</w:t>
            </w:r>
            <w:r>
              <w:rPr>
                <w:rFonts w:hint="eastAsia"/>
                <w:color w:val="auto"/>
                <w:szCs w:val="21"/>
                <w:highlight w:val="none"/>
              </w:rPr>
              <w:t xml:space="preserve">；</w:t>
            </w:r>
            <w:r/>
          </w:p>
        </w:tc>
      </w:tr>
      <w:tr>
        <w:trPr/>
        <w:tc>
          <w:tcPr>
            <w:tcW w:w="1447" w:type="dxa"/>
            <w:vAlign w:val="top"/>
            <w:vMerge w:val="restart"/>
            <w:textDirection w:val="lrTb"/>
            <w:noWrap w:val="false"/>
          </w:tcPr>
          <w:p>
            <w:pPr>
              <w:rPr>
                <w:rFonts w:hint="eastAsia"/>
                <w:color w:val="auto"/>
                <w:highlight w:val="none"/>
              </w:rPr>
            </w:pPr>
            <w:r>
              <w:rPr>
                <w:rFonts w:hint="eastAsia"/>
                <w:color w:val="auto"/>
                <w:highlight w:val="none"/>
              </w:rPr>
              <w:t xml:space="preserve">4.导轨系统</w:t>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4.1</w:t>
            </w:r>
            <w:r/>
          </w:p>
        </w:tc>
        <w:tc>
          <w:tcPr>
            <w:tcW w:w="6945" w:type="dxa"/>
            <w:vAlign w:val="top"/>
            <w:textDirection w:val="lrTb"/>
            <w:noWrap w:val="false"/>
          </w:tcPr>
          <w:p>
            <w:pPr>
              <w:rPr>
                <w:rFonts w:hint="eastAsia"/>
                <w:color w:val="auto"/>
                <w:highlight w:val="none"/>
              </w:rPr>
            </w:pPr>
            <w:r>
              <w:rPr>
                <w:color w:val="auto"/>
                <w:szCs w:val="21"/>
                <w:highlight w:val="none"/>
              </w:rPr>
              <w:t xml:space="preserve">导轨为T字型和弧型导轨，由横向导轨、纵向导轨、圆弧导轨、</w:t>
            </w:r>
            <w:r>
              <w:rPr>
                <w:rFonts w:hint="eastAsia"/>
                <w:color w:val="auto"/>
                <w:szCs w:val="21"/>
                <w:highlight w:val="none"/>
              </w:rPr>
              <w:t xml:space="preserve">转运</w:t>
            </w:r>
            <w:r>
              <w:rPr>
                <w:color w:val="auto"/>
                <w:szCs w:val="21"/>
                <w:highlight w:val="none"/>
              </w:rPr>
              <w:t xml:space="preserve">车</w:t>
            </w:r>
            <w:r>
              <w:rPr>
                <w:rFonts w:hint="eastAsia"/>
                <w:color w:val="auto"/>
                <w:szCs w:val="21"/>
                <w:highlight w:val="none"/>
              </w:rPr>
              <w:t xml:space="preserve">和</w:t>
            </w:r>
            <w:r>
              <w:rPr>
                <w:color w:val="auto"/>
                <w:szCs w:val="21"/>
                <w:highlight w:val="none"/>
              </w:rPr>
              <w:t xml:space="preserve">换向转盘组成</w:t>
            </w:r>
            <w:r>
              <w:rPr>
                <w:rFonts w:hint="eastAsia"/>
                <w:color w:val="auto"/>
                <w:szCs w:val="21"/>
                <w:highlight w:val="none"/>
              </w:rPr>
              <w:t xml:space="preserve">，</w:t>
            </w:r>
            <w:r>
              <w:rPr>
                <w:color w:val="auto"/>
                <w:szCs w:val="21"/>
                <w:highlight w:val="none"/>
              </w:rPr>
              <w:t xml:space="preserve">实现</w:t>
            </w:r>
            <w:r>
              <w:rPr>
                <w:rFonts w:hint="eastAsia"/>
                <w:color w:val="auto"/>
                <w:szCs w:val="21"/>
                <w:highlight w:val="none"/>
              </w:rPr>
              <w:t xml:space="preserve">硬件</w:t>
            </w:r>
            <w:r>
              <w:rPr>
                <w:color w:val="auto"/>
                <w:szCs w:val="21"/>
                <w:highlight w:val="none"/>
              </w:rPr>
              <w:t xml:space="preserve">在导轨上移动</w:t>
            </w:r>
            <w:r>
              <w:rPr>
                <w:rFonts w:hint="eastAsia"/>
                <w:color w:val="auto"/>
                <w:szCs w:val="21"/>
                <w:highlight w:val="none"/>
              </w:rPr>
              <w:t xml:space="preserve">；</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4.2</w:t>
            </w:r>
            <w:r/>
          </w:p>
        </w:tc>
        <w:tc>
          <w:tcPr>
            <w:tcW w:w="6945" w:type="dxa"/>
            <w:vAlign w:val="top"/>
            <w:textDirection w:val="lrTb"/>
            <w:noWrap w:val="false"/>
          </w:tcPr>
          <w:p>
            <w:pPr>
              <w:rPr>
                <w:color w:val="auto"/>
                <w:highlight w:val="none"/>
              </w:rPr>
            </w:pPr>
            <w:r>
              <w:rPr>
                <w:rFonts w:hint="eastAsia"/>
                <w:color w:val="auto"/>
                <w:szCs w:val="21"/>
                <w:highlight w:val="none"/>
              </w:rPr>
              <w:t xml:space="preserve">转运车</w:t>
            </w:r>
            <w:r>
              <w:rPr>
                <w:color w:val="auto"/>
                <w:szCs w:val="21"/>
                <w:highlight w:val="none"/>
              </w:rPr>
              <w:t xml:space="preserve">载重：≥500kg；</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4.3</w:t>
            </w:r>
            <w:r/>
          </w:p>
        </w:tc>
        <w:tc>
          <w:tcPr>
            <w:tcW w:w="6945" w:type="dxa"/>
            <w:vAlign w:val="top"/>
            <w:textDirection w:val="lrTb"/>
            <w:noWrap w:val="false"/>
          </w:tcPr>
          <w:p>
            <w:pPr>
              <w:rPr>
                <w:color w:val="auto"/>
                <w:highlight w:val="none"/>
              </w:rPr>
            </w:pPr>
            <w:r>
              <w:rPr>
                <w:rFonts w:hint="eastAsia"/>
                <w:color w:val="auto"/>
                <w:szCs w:val="21"/>
                <w:highlight w:val="none"/>
              </w:rPr>
              <w:t xml:space="preserve">转运车</w:t>
            </w:r>
            <w:r>
              <w:rPr>
                <w:color w:val="auto"/>
                <w:szCs w:val="21"/>
                <w:highlight w:val="none"/>
              </w:rPr>
              <w:t xml:space="preserve">具有定位锁紧功能；</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4.4</w:t>
            </w:r>
            <w:r/>
          </w:p>
        </w:tc>
        <w:tc>
          <w:tcPr>
            <w:tcW w:w="6945" w:type="dxa"/>
            <w:vAlign w:val="top"/>
            <w:textDirection w:val="lrTb"/>
            <w:noWrap w:val="false"/>
          </w:tcPr>
          <w:p>
            <w:pPr>
              <w:rPr>
                <w:color w:val="auto"/>
                <w:highlight w:val="none"/>
              </w:rPr>
            </w:pPr>
            <w:r>
              <w:rPr>
                <w:rFonts w:hint="eastAsia"/>
                <w:color w:val="auto"/>
                <w:highlight w:val="none"/>
              </w:rPr>
              <w:t xml:space="preserve">转运车最大速度不小于50mm/s；</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4.5</w:t>
            </w:r>
            <w:r/>
          </w:p>
        </w:tc>
        <w:tc>
          <w:tcPr>
            <w:tcW w:w="6945" w:type="dxa"/>
            <w:vAlign w:val="top"/>
            <w:textDirection w:val="lrTb"/>
            <w:noWrap w:val="false"/>
          </w:tcPr>
          <w:p>
            <w:pPr>
              <w:rPr>
                <w:color w:val="auto"/>
                <w:highlight w:val="none"/>
              </w:rPr>
            </w:pPr>
            <w:r>
              <w:rPr>
                <w:color w:val="auto"/>
                <w:szCs w:val="21"/>
                <w:highlight w:val="none"/>
              </w:rPr>
              <w:t xml:space="preserve">弧形导轨定位精度：≤1mm</w:t>
            </w:r>
            <w:r>
              <w:rPr>
                <w:rFonts w:hint="eastAsia"/>
                <w:color w:val="auto"/>
                <w:szCs w:val="21"/>
                <w:highlight w:val="none"/>
              </w:rPr>
              <w:t xml:space="preserve">；</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4.6</w:t>
            </w:r>
            <w:r/>
          </w:p>
        </w:tc>
        <w:tc>
          <w:tcPr>
            <w:tcW w:w="6945" w:type="dxa"/>
            <w:vAlign w:val="top"/>
            <w:textDirection w:val="lrTb"/>
            <w:noWrap w:val="false"/>
          </w:tcPr>
          <w:p>
            <w:pPr>
              <w:rPr>
                <w:color w:val="auto"/>
                <w:highlight w:val="none"/>
              </w:rPr>
            </w:pPr>
            <w:r>
              <w:rPr>
                <w:rFonts w:hint="eastAsia"/>
                <w:color w:val="auto"/>
                <w:szCs w:val="21"/>
                <w:highlight w:val="none"/>
              </w:rPr>
              <w:t xml:space="preserve">转运车</w:t>
            </w:r>
            <w:r>
              <w:rPr>
                <w:color w:val="auto"/>
                <w:szCs w:val="21"/>
                <w:highlight w:val="none"/>
              </w:rPr>
              <w:t xml:space="preserve">控制模式：远程、手动；</w:t>
            </w:r>
            <w:r>
              <w:rPr>
                <w:rFonts w:hint="eastAsia"/>
                <w:color w:val="auto"/>
                <w:highlight w:val="none"/>
              </w:rPr>
              <w:t xml:space="preserve">转运车控制器具有紧急停止功能，安装有急停按钮；</w:t>
            </w:r>
            <w:r/>
          </w:p>
        </w:tc>
      </w:tr>
      <w:tr>
        <w:trPr/>
        <w:tc>
          <w:tcPr>
            <w:tcW w:w="1447" w:type="dxa"/>
            <w:vAlign w:val="top"/>
            <w:vMerge w:val="restart"/>
            <w:textDirection w:val="lrTb"/>
            <w:noWrap w:val="false"/>
          </w:tcPr>
          <w:p>
            <w:pPr>
              <w:rPr>
                <w:rFonts w:hint="eastAsia"/>
                <w:color w:val="auto"/>
                <w:highlight w:val="none"/>
              </w:rPr>
            </w:pPr>
            <w:r>
              <w:rPr>
                <w:rFonts w:hint="eastAsia"/>
                <w:color w:val="auto"/>
                <w:highlight w:val="none"/>
              </w:rPr>
              <w:t xml:space="preserve">5.射频子系统</w:t>
            </w:r>
            <w:r/>
          </w:p>
        </w:tc>
        <w:tc>
          <w:tcPr>
            <w:gridSpan w:val="2"/>
            <w:tcW w:w="1418" w:type="dxa"/>
            <w:vAlign w:val="top"/>
            <w:textDirection w:val="lrTb"/>
            <w:noWrap w:val="false"/>
          </w:tcPr>
          <w:p>
            <w:pPr>
              <w:jc w:val="center"/>
              <w:rPr>
                <w:color w:val="auto"/>
                <w:highlight w:val="none"/>
              </w:rPr>
            </w:pPr>
            <w:r>
              <w:rPr>
                <w:rFonts w:hint="eastAsia"/>
                <w:color w:val="auto"/>
                <w:highlight w:val="none"/>
              </w:rPr>
              <w:t xml:space="preserve">5</w:t>
            </w:r>
            <w:r>
              <w:rPr>
                <w:color w:val="auto"/>
                <w:highlight w:val="none"/>
              </w:rPr>
              <w:t xml:space="preserve">.1</w:t>
            </w:r>
            <w:r/>
          </w:p>
        </w:tc>
        <w:tc>
          <w:tcPr>
            <w:tcW w:w="6945" w:type="dxa"/>
            <w:vAlign w:val="top"/>
            <w:textDirection w:val="lrTb"/>
            <w:noWrap w:val="false"/>
          </w:tcPr>
          <w:p>
            <w:pPr>
              <w:rPr>
                <w:color w:val="auto"/>
                <w:highlight w:val="none"/>
              </w:rPr>
            </w:pPr>
            <w:r>
              <w:rPr>
                <w:color w:val="auto"/>
                <w:highlight w:val="none"/>
              </w:rPr>
              <w:t xml:space="preserve">配置标准增益天线1套，频率范围1GHz～</w:t>
            </w:r>
            <w:r>
              <w:rPr>
                <w:rFonts w:hint="eastAsia"/>
                <w:color w:val="auto"/>
                <w:highlight w:val="none"/>
              </w:rPr>
              <w:t xml:space="preserve">110</w:t>
            </w:r>
            <w:r>
              <w:rPr>
                <w:color w:val="auto"/>
                <w:highlight w:val="none"/>
              </w:rPr>
              <w:t xml:space="preserve">GHz，单线极化，配套天线支架；</w:t>
            </w:r>
            <w:r/>
          </w:p>
        </w:tc>
      </w:tr>
      <w:tr>
        <w:trPr/>
        <w:tc>
          <w:tcPr>
            <w:tcW w:w="1447" w:type="dxa"/>
            <w:vAlign w:val="top"/>
            <w:vMerge w:val="continue"/>
            <w:textDirection w:val="lrTb"/>
            <w:noWrap w:val="false"/>
          </w:tcPr>
          <w:p>
            <w:pPr>
              <w:rPr>
                <w:color w:val="auto"/>
                <w:highlight w:val="none"/>
              </w:rPr>
            </w:pPr>
            <w:r>
              <w:rPr>
                <w:color w:val="auto"/>
                <w:highlight w:val="none"/>
              </w:rPr>
            </w:r>
            <w:r/>
          </w:p>
        </w:tc>
        <w:tc>
          <w:tcPr>
            <w:gridSpan w:val="2"/>
            <w:tcW w:w="1418" w:type="dxa"/>
            <w:vAlign w:val="top"/>
            <w:textDirection w:val="lrTb"/>
            <w:noWrap w:val="false"/>
          </w:tcPr>
          <w:p>
            <w:pPr>
              <w:jc w:val="center"/>
              <w:rPr>
                <w:color w:val="auto"/>
                <w:highlight w:val="none"/>
              </w:rPr>
            </w:pPr>
            <w:r>
              <w:rPr>
                <w:rFonts w:hint="eastAsia"/>
                <w:color w:val="auto"/>
                <w:highlight w:val="none"/>
              </w:rPr>
              <w:t xml:space="preserve">5</w:t>
            </w:r>
            <w:r>
              <w:rPr>
                <w:color w:val="auto"/>
                <w:highlight w:val="none"/>
              </w:rPr>
              <w:t xml:space="preserve">.2</w:t>
            </w:r>
            <w:r/>
          </w:p>
        </w:tc>
        <w:tc>
          <w:tcPr>
            <w:tcW w:w="6945" w:type="dxa"/>
            <w:vAlign w:val="top"/>
            <w:textDirection w:val="lrTb"/>
            <w:noWrap w:val="false"/>
          </w:tcPr>
          <w:p>
            <w:pPr>
              <w:rPr>
                <w:color w:val="auto"/>
                <w:highlight w:val="none"/>
              </w:rPr>
            </w:pPr>
            <w:r>
              <w:rPr>
                <w:color w:val="auto"/>
                <w:highlight w:val="none"/>
              </w:rPr>
              <w:t xml:space="preserve">配置射频链路相应的低噪放射频盒、功放射频盒等，频率范围1 GHz～40G</w:t>
            </w:r>
            <w:r>
              <w:rPr>
                <w:rFonts w:hint="eastAsia"/>
                <w:color w:val="auto"/>
                <w:highlight w:val="none"/>
              </w:rPr>
              <w:t xml:space="preserve">Hz</w:t>
            </w:r>
            <w:r>
              <w:rPr>
                <w:color w:val="auto"/>
                <w:highlight w:val="none"/>
              </w:rPr>
              <w:t xml:space="preserve">；</w:t>
            </w:r>
            <w:r/>
          </w:p>
        </w:tc>
      </w:tr>
      <w:tr>
        <w:trPr/>
        <w:tc>
          <w:tcPr>
            <w:tcW w:w="1447" w:type="dxa"/>
            <w:vAlign w:val="top"/>
            <w:vMerge w:val="continue"/>
            <w:textDirection w:val="lrTb"/>
            <w:noWrap w:val="false"/>
          </w:tcPr>
          <w:p>
            <w:pPr>
              <w:rPr>
                <w:color w:val="auto"/>
                <w:highlight w:val="none"/>
              </w:rPr>
            </w:pPr>
            <w:r>
              <w:rPr>
                <w:color w:val="auto"/>
                <w:highlight w:val="none"/>
              </w:rPr>
            </w:r>
            <w:r/>
          </w:p>
        </w:tc>
        <w:tc>
          <w:tcPr>
            <w:gridSpan w:val="2"/>
            <w:tcW w:w="1418" w:type="dxa"/>
            <w:vAlign w:val="top"/>
            <w:textDirection w:val="lrTb"/>
            <w:noWrap w:val="false"/>
          </w:tcPr>
          <w:p>
            <w:pPr>
              <w:jc w:val="center"/>
              <w:rPr>
                <w:color w:val="auto"/>
                <w:highlight w:val="none"/>
              </w:rPr>
            </w:pPr>
            <w:r>
              <w:rPr>
                <w:rFonts w:hint="eastAsia"/>
                <w:color w:val="auto"/>
                <w:highlight w:val="none"/>
              </w:rPr>
              <w:t xml:space="preserve">5</w:t>
            </w:r>
            <w:r>
              <w:rPr>
                <w:color w:val="auto"/>
                <w:highlight w:val="none"/>
              </w:rPr>
              <w:t xml:space="preserve">.3</w:t>
            </w:r>
            <w:r/>
          </w:p>
        </w:tc>
        <w:tc>
          <w:tcPr>
            <w:tcW w:w="6945" w:type="dxa"/>
            <w:vAlign w:val="top"/>
            <w:textDirection w:val="lrTb"/>
            <w:noWrap w:val="false"/>
          </w:tcPr>
          <w:p>
            <w:pPr>
              <w:rPr>
                <w:rFonts w:hint="eastAsia"/>
                <w:color w:val="auto"/>
                <w:highlight w:val="none"/>
              </w:rPr>
            </w:pPr>
            <w:r>
              <w:rPr>
                <w:color w:val="auto"/>
                <w:highlight w:val="none"/>
              </w:rPr>
              <w:t xml:space="preserve">配置定标体1套：金属球，直径</w:t>
            </w:r>
            <w:r>
              <w:rPr>
                <w:rFonts w:hint="eastAsia"/>
                <w:color w:val="auto"/>
                <w:highlight w:val="none"/>
              </w:rPr>
              <w:t xml:space="preserve">356.78</w:t>
            </w:r>
            <w:r>
              <w:rPr>
                <w:color w:val="auto"/>
                <w:highlight w:val="none"/>
              </w:rPr>
              <w:t xml:space="preserve">mm</w:t>
            </w:r>
            <w:r>
              <w:rPr>
                <w:rFonts w:hint="eastAsia"/>
                <w:color w:val="auto"/>
                <w:highlight w:val="none"/>
              </w:rPr>
              <w:t xml:space="preserve">、直径200.7mm、直径112.8mm、直径63.5mm、直径20.2mm</w:t>
            </w:r>
            <w:r>
              <w:rPr>
                <w:color w:val="auto"/>
                <w:highlight w:val="none"/>
              </w:rPr>
              <w:t xml:space="preserve">，数量各1个；</w:t>
            </w:r>
            <w:r>
              <w:rPr>
                <w:rFonts w:hint="eastAsia"/>
                <w:color w:val="auto"/>
                <w:highlight w:val="none"/>
              </w:rPr>
              <w:t xml:space="preserve"> </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5.4</w:t>
            </w:r>
            <w:r/>
          </w:p>
        </w:tc>
        <w:tc>
          <w:tcPr>
            <w:tcW w:w="6945" w:type="dxa"/>
            <w:vAlign w:val="top"/>
            <w:textDirection w:val="lrTb"/>
            <w:noWrap w:val="false"/>
          </w:tcPr>
          <w:p>
            <w:pPr>
              <w:rPr>
                <w:color w:val="auto"/>
                <w:highlight w:val="none"/>
              </w:rPr>
            </w:pPr>
            <w:r>
              <w:rPr>
                <w:rFonts w:hint="eastAsia"/>
                <w:color w:val="auto"/>
                <w:highlight w:val="none"/>
              </w:rPr>
              <w:t xml:space="preserve">增益测试精度：±0.5dB@10dBi（1GHz≤f≤40GHz）；</w:t>
            </w:r>
            <w:r/>
          </w:p>
          <w:p>
            <w:pPr>
              <w:rPr>
                <w:color w:val="auto"/>
                <w:highlight w:val="none"/>
              </w:rPr>
            </w:pPr>
            <w:r>
              <w:rPr>
                <w:color w:val="auto"/>
                <w:highlight w:val="none"/>
              </w:rPr>
              <w:t xml:space="preserve">副瓣电平测试精度：±1dB@-10dB；</w:t>
            </w:r>
            <w:r/>
          </w:p>
          <w:p>
            <w:pPr>
              <w:ind w:firstLine="1890"/>
              <w:rPr>
                <w:color w:val="auto"/>
                <w:highlight w:val="none"/>
              </w:rPr>
            </w:pPr>
            <w:r>
              <w:rPr>
                <w:color w:val="auto"/>
                <w:highlight w:val="none"/>
              </w:rPr>
              <w:t xml:space="preserve">±2dB@-20dB；</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5.5</w:t>
            </w:r>
            <w:r/>
          </w:p>
        </w:tc>
        <w:tc>
          <w:tcPr>
            <w:tcW w:w="6945" w:type="dxa"/>
            <w:vAlign w:val="top"/>
            <w:textDirection w:val="lrTb"/>
            <w:noWrap w:val="false"/>
          </w:tcPr>
          <w:p>
            <w:pPr>
              <w:rPr>
                <w:rFonts w:hint="eastAsia"/>
                <w:color w:val="auto"/>
                <w:highlight w:val="none"/>
              </w:rPr>
            </w:pPr>
            <w:r>
              <w:rPr>
                <w:color w:val="auto"/>
                <w:highlight w:val="none"/>
              </w:rPr>
              <w:t xml:space="preserve">动态范围（IFBW=1kHz，无平均）：≥60dB</w:t>
            </w:r>
            <w:r>
              <w:rPr>
                <w:rFonts w:hint="eastAsia"/>
                <w:color w:val="auto"/>
                <w:highlight w:val="none"/>
              </w:rPr>
              <w:t xml:space="preserve">；</w:t>
            </w:r>
            <w:r/>
          </w:p>
        </w:tc>
      </w:tr>
      <w:tr>
        <w:trPr/>
        <w:tc>
          <w:tcPr>
            <w:tcW w:w="1447" w:type="dxa"/>
            <w:vAlign w:val="top"/>
            <w:vMerge w:val="restart"/>
            <w:textDirection w:val="lrTb"/>
            <w:noWrap w:val="false"/>
          </w:tcPr>
          <w:p>
            <w:pPr>
              <w:rPr>
                <w:rFonts w:hint="eastAsia"/>
                <w:color w:val="auto"/>
                <w:highlight w:val="none"/>
              </w:rPr>
            </w:pPr>
            <w:r>
              <w:rPr>
                <w:rFonts w:hint="eastAsia"/>
                <w:color w:val="auto"/>
                <w:highlight w:val="none"/>
              </w:rPr>
              <w:t xml:space="preserve">6.RTC实时控制器</w:t>
            </w:r>
            <w:r/>
          </w:p>
        </w:tc>
        <w:tc>
          <w:tcPr>
            <w:gridSpan w:val="2"/>
            <w:tcW w:w="1418" w:type="dxa"/>
            <w:vAlign w:val="top"/>
            <w:textDirection w:val="lrTb"/>
            <w:noWrap w:val="false"/>
          </w:tcPr>
          <w:p>
            <w:pPr>
              <w:jc w:val="center"/>
              <w:rPr>
                <w:color w:val="auto"/>
                <w:highlight w:val="none"/>
              </w:rPr>
            </w:pPr>
            <w:r>
              <w:rPr>
                <w:rFonts w:hint="eastAsia"/>
                <w:color w:val="auto"/>
                <w:highlight w:val="none"/>
              </w:rPr>
              <w:t xml:space="preserve">6</w:t>
            </w:r>
            <w:r>
              <w:rPr>
                <w:color w:val="auto"/>
                <w:highlight w:val="none"/>
              </w:rPr>
              <w:t xml:space="preserve">.1</w:t>
            </w:r>
            <w:r/>
          </w:p>
        </w:tc>
        <w:tc>
          <w:tcPr>
            <w:tcW w:w="6945" w:type="dxa"/>
            <w:vAlign w:val="top"/>
            <w:textDirection w:val="lrTb"/>
            <w:noWrap w:val="false"/>
          </w:tcPr>
          <w:p>
            <w:pPr>
              <w:rPr>
                <w:color w:val="auto"/>
                <w:highlight w:val="none"/>
              </w:rPr>
            </w:pPr>
            <w:r>
              <w:rPr>
                <w:color w:val="auto"/>
                <w:highlight w:val="none"/>
              </w:rPr>
              <w:t xml:space="preserve">解析控制计算机控制指令，控制定位设备、测试仪器、器件间时序关系；</w:t>
            </w:r>
            <w:r/>
          </w:p>
        </w:tc>
      </w:tr>
      <w:tr>
        <w:trPr/>
        <w:tc>
          <w:tcPr>
            <w:tcW w:w="1447" w:type="dxa"/>
            <w:vAlign w:val="top"/>
            <w:vMerge w:val="continue"/>
            <w:textDirection w:val="lrTb"/>
            <w:noWrap w:val="false"/>
          </w:tcPr>
          <w:p>
            <w:pPr>
              <w:rPr>
                <w:color w:val="auto"/>
                <w:highlight w:val="none"/>
              </w:rPr>
            </w:pPr>
            <w:r>
              <w:rPr>
                <w:color w:val="auto"/>
                <w:highlight w:val="none"/>
              </w:rPr>
            </w:r>
            <w:r/>
          </w:p>
        </w:tc>
        <w:tc>
          <w:tcPr>
            <w:gridSpan w:val="2"/>
            <w:tcW w:w="1418" w:type="dxa"/>
            <w:vAlign w:val="top"/>
            <w:textDirection w:val="lrTb"/>
            <w:noWrap w:val="false"/>
          </w:tcPr>
          <w:p>
            <w:pPr>
              <w:jc w:val="center"/>
              <w:rPr>
                <w:color w:val="auto"/>
                <w:highlight w:val="none"/>
              </w:rPr>
            </w:pPr>
            <w:r>
              <w:rPr>
                <w:rFonts w:hint="eastAsia"/>
                <w:color w:val="auto"/>
                <w:highlight w:val="none"/>
              </w:rPr>
              <w:t xml:space="preserve">6</w:t>
            </w:r>
            <w:r>
              <w:rPr>
                <w:color w:val="auto"/>
                <w:highlight w:val="none"/>
              </w:rPr>
              <w:t xml:space="preserve">.2</w:t>
            </w:r>
            <w:r/>
          </w:p>
        </w:tc>
        <w:tc>
          <w:tcPr>
            <w:tcW w:w="6945" w:type="dxa"/>
            <w:vAlign w:val="top"/>
            <w:textDirection w:val="lrTb"/>
            <w:noWrap w:val="false"/>
          </w:tcPr>
          <w:p>
            <w:pPr>
              <w:rPr>
                <w:color w:val="auto"/>
                <w:highlight w:val="none"/>
              </w:rPr>
            </w:pPr>
            <w:r>
              <w:rPr>
                <w:color w:val="auto"/>
                <w:highlight w:val="none"/>
              </w:rPr>
              <w:t xml:space="preserve">负责相控阵</w:t>
            </w:r>
            <w:r>
              <w:rPr>
                <w:rFonts w:hint="eastAsia"/>
                <w:color w:val="auto"/>
                <w:highlight w:val="none"/>
              </w:rPr>
              <w:t xml:space="preserve">波束</w:t>
            </w:r>
            <w:r>
              <w:rPr>
                <w:color w:val="auto"/>
                <w:highlight w:val="none"/>
              </w:rPr>
              <w:t xml:space="preserve">扫描实时交互控制</w:t>
            </w:r>
            <w:r>
              <w:rPr>
                <w:rFonts w:hint="eastAsia"/>
                <w:color w:val="auto"/>
                <w:highlight w:val="none"/>
              </w:rPr>
              <w:t xml:space="preserve">，</w:t>
            </w:r>
            <w:r>
              <w:rPr>
                <w:color w:val="auto"/>
                <w:highlight w:val="none"/>
              </w:rPr>
              <w:t xml:space="preserve">时序控制时间：μs级；</w:t>
            </w:r>
            <w:r/>
          </w:p>
        </w:tc>
      </w:tr>
      <w:tr>
        <w:trPr/>
        <w:tc>
          <w:tcPr>
            <w:tcW w:w="1447" w:type="dxa"/>
            <w:vAlign w:val="top"/>
            <w:vMerge w:val="restart"/>
            <w:textDirection w:val="lrTb"/>
            <w:noWrap w:val="false"/>
          </w:tcPr>
          <w:p>
            <w:pPr>
              <w:jc w:val="left"/>
              <w:rPr>
                <w:color w:val="auto"/>
                <w:highlight w:val="none"/>
              </w:rPr>
            </w:pPr>
            <w:r>
              <w:rPr>
                <w:rFonts w:hint="eastAsia"/>
                <w:color w:val="auto"/>
                <w:highlight w:val="none"/>
              </w:rPr>
              <w:t xml:space="preserve">7.通感一体专用功能</w:t>
            </w:r>
            <w:r/>
          </w:p>
        </w:tc>
        <w:tc>
          <w:tcPr>
            <w:tcW w:w="709" w:type="dxa"/>
            <w:vAlign w:val="top"/>
            <w:vMerge w:val="restart"/>
            <w:textDirection w:val="lrTb"/>
            <w:noWrap w:val="false"/>
          </w:tcPr>
          <w:p>
            <w:pPr>
              <w:rPr>
                <w:color w:val="auto"/>
                <w:highlight w:val="none"/>
              </w:rPr>
            </w:pPr>
            <w:r>
              <w:rPr>
                <w:rFonts w:hint="eastAsia"/>
                <w:color w:val="auto"/>
                <w:highlight w:val="none"/>
              </w:rPr>
              <w:t xml:space="preserve">7.1</w:t>
            </w:r>
            <w:r/>
          </w:p>
          <w:p>
            <w:pPr>
              <w:jc w:val="center"/>
              <w:rPr>
                <w:rFonts w:hint="eastAsia"/>
                <w:color w:val="auto"/>
                <w:highlight w:val="none"/>
              </w:rPr>
            </w:pPr>
            <w:r>
              <w:rPr>
                <w:rFonts w:hint="eastAsia"/>
                <w:color w:val="auto"/>
                <w:highlight w:val="none"/>
              </w:rPr>
              <w:t xml:space="preserve">动目标测试功能</w:t>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7.1.1</w:t>
            </w:r>
            <w:r/>
          </w:p>
        </w:tc>
        <w:tc>
          <w:tcPr>
            <w:tcW w:w="6945" w:type="dxa"/>
            <w:vAlign w:val="top"/>
            <w:textDirection w:val="lrTb"/>
            <w:noWrap w:val="false"/>
          </w:tcPr>
          <w:p>
            <w:pPr>
              <w:rPr>
                <w:color w:val="auto"/>
                <w:highlight w:val="none"/>
              </w:rPr>
            </w:pPr>
            <w:r>
              <w:rPr>
                <w:color w:val="auto"/>
                <w:highlight w:val="none"/>
              </w:rPr>
              <w:t xml:space="preserve">具备</w:t>
            </w:r>
            <w:r>
              <w:rPr>
                <w:rFonts w:hint="eastAsia"/>
                <w:color w:val="auto"/>
                <w:highlight w:val="none"/>
              </w:rPr>
              <w:t xml:space="preserve">测试仪表和转台自动控制能力，开展</w:t>
            </w:r>
            <w:r>
              <w:rPr>
                <w:color w:val="auto"/>
                <w:highlight w:val="none"/>
              </w:rPr>
              <w:t xml:space="preserve">微波暗室内动目标测试</w:t>
            </w:r>
            <w:r>
              <w:rPr>
                <w:rFonts w:hint="eastAsia"/>
                <w:color w:val="auto"/>
                <w:highlight w:val="none"/>
              </w:rPr>
              <w:t xml:space="preserve">；</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7.1.2</w:t>
            </w:r>
            <w:r/>
          </w:p>
        </w:tc>
        <w:tc>
          <w:tcPr>
            <w:tcW w:w="6945" w:type="dxa"/>
            <w:vAlign w:val="top"/>
            <w:textDirection w:val="lrTb"/>
            <w:noWrap w:val="false"/>
          </w:tcPr>
          <w:p>
            <w:pPr>
              <w:rPr>
                <w:color w:val="auto"/>
                <w:highlight w:val="none"/>
              </w:rPr>
            </w:pPr>
            <w:r>
              <w:rPr>
                <w:color w:val="auto"/>
                <w:highlight w:val="none"/>
              </w:rPr>
              <w:t xml:space="preserve">具备识别动目标</w:t>
            </w:r>
            <w:r>
              <w:rPr>
                <w:rFonts w:hint="eastAsia"/>
                <w:color w:val="auto"/>
                <w:highlight w:val="none"/>
              </w:rPr>
              <w:t xml:space="preserve">能力，包括但不限于4旋翼、6旋翼等各类无人机；</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7.1.3</w:t>
            </w:r>
            <w:r/>
          </w:p>
        </w:tc>
        <w:tc>
          <w:tcPr>
            <w:tcW w:w="6945" w:type="dxa"/>
            <w:vAlign w:val="top"/>
            <w:textDirection w:val="lrTb"/>
            <w:noWrap w:val="false"/>
          </w:tcPr>
          <w:p>
            <w:pPr>
              <w:rPr>
                <w:color w:val="auto"/>
                <w:highlight w:val="none"/>
              </w:rPr>
            </w:pPr>
            <w:r>
              <w:rPr>
                <w:rFonts w:hint="eastAsia"/>
                <w:color w:val="auto"/>
                <w:highlight w:val="none"/>
              </w:rPr>
              <w:t xml:space="preserve">★具备多普勒频谱和微多普勒频谱分析功能，能够对测试采集的数据进行分析和显示；</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7.1.4</w:t>
            </w:r>
            <w:r/>
          </w:p>
        </w:tc>
        <w:tc>
          <w:tcPr>
            <w:tcW w:w="6945" w:type="dxa"/>
            <w:vAlign w:val="top"/>
            <w:textDirection w:val="lrTb"/>
            <w:noWrap w:val="false"/>
          </w:tcPr>
          <w:p>
            <w:pPr>
              <w:rPr>
                <w:color w:val="auto"/>
                <w:highlight w:val="none"/>
              </w:rPr>
            </w:pPr>
            <w:r>
              <w:rPr>
                <w:rFonts w:hint="eastAsia"/>
                <w:color w:val="auto"/>
                <w:highlight w:val="none"/>
              </w:rPr>
              <w:t xml:space="preserve">软件具备背景滤除功能；</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7.1.5</w:t>
            </w:r>
            <w:r/>
          </w:p>
        </w:tc>
        <w:tc>
          <w:tcPr>
            <w:tcW w:w="6945" w:type="dxa"/>
            <w:vAlign w:val="top"/>
            <w:textDirection w:val="lrTb"/>
            <w:noWrap w:val="false"/>
          </w:tcPr>
          <w:p>
            <w:pPr>
              <w:rPr>
                <w:color w:val="auto"/>
                <w:highlight w:val="none"/>
              </w:rPr>
            </w:pPr>
            <w:r>
              <w:rPr>
                <w:rFonts w:hint="eastAsia"/>
                <w:color w:val="auto"/>
                <w:highlight w:val="none"/>
              </w:rPr>
              <w:t xml:space="preserve">支持设置的</w:t>
            </w:r>
            <w:r>
              <w:rPr>
                <w:color w:val="auto"/>
                <w:highlight w:val="none"/>
              </w:rPr>
              <w:t xml:space="preserve">测试频率范围覆盖：</w:t>
            </w:r>
            <w:r>
              <w:rPr>
                <w:rFonts w:hint="eastAsia"/>
                <w:color w:val="auto"/>
                <w:highlight w:val="none"/>
              </w:rPr>
              <w:t xml:space="preserve">1</w:t>
            </w:r>
            <w:r>
              <w:rPr>
                <w:color w:val="auto"/>
                <w:highlight w:val="none"/>
              </w:rPr>
              <w:t xml:space="preserve">GHz～40GHz；</w:t>
            </w:r>
            <w:r>
              <w:rPr>
                <w:rFonts w:hint="eastAsia"/>
                <w:color w:val="auto"/>
                <w:highlight w:val="none"/>
              </w:rPr>
              <w:t xml:space="preserve"> </w:t>
            </w:r>
            <w:r/>
          </w:p>
          <w:p>
            <w:pPr>
              <w:pStyle w:val="947"/>
              <w:ind w:firstLine="0"/>
              <w:rPr>
                <w:color w:val="auto"/>
                <w:highlight w:val="none"/>
              </w:rPr>
            </w:pPr>
            <w:r>
              <w:rPr>
                <w:rFonts w:hint="eastAsia"/>
                <w:color w:val="auto"/>
                <w:highlight w:val="none"/>
              </w:rPr>
              <w:t xml:space="preserve">单站测试时，静区尺寸2m，测试频率覆盖2GHz-40GHz；</w:t>
            </w:r>
            <w:r/>
          </w:p>
          <w:p>
            <w:pPr>
              <w:rPr>
                <w:rFonts w:hint="eastAsia"/>
                <w:color w:val="auto"/>
                <w:highlight w:val="none"/>
              </w:rPr>
            </w:pPr>
            <w:r>
              <w:rPr>
                <w:rFonts w:hint="eastAsia" w:ascii="宋体" w:hAnsi="宋体"/>
                <w:color w:val="auto"/>
                <w:szCs w:val="20"/>
                <w:highlight w:val="none"/>
              </w:rPr>
              <w:t xml:space="preserve">双站测试时，静区尺寸1m，测试频率覆盖1GHz-40GHz；</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restart"/>
            <w:textDirection w:val="lrTb"/>
            <w:noWrap w:val="false"/>
          </w:tcPr>
          <w:p>
            <w:pPr>
              <w:jc w:val="center"/>
              <w:rPr>
                <w:rFonts w:hint="eastAsia"/>
                <w:color w:val="auto"/>
                <w:highlight w:val="none"/>
              </w:rPr>
            </w:pPr>
            <w:r>
              <w:rPr>
                <w:rFonts w:hint="eastAsia"/>
                <w:color w:val="auto"/>
                <w:highlight w:val="none"/>
              </w:rPr>
              <w:t xml:space="preserve">7.2双站雷达模拟测试功能</w:t>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7.2.1</w:t>
            </w:r>
            <w:r/>
          </w:p>
        </w:tc>
        <w:tc>
          <w:tcPr>
            <w:tcW w:w="6945" w:type="dxa"/>
            <w:vAlign w:val="top"/>
            <w:textDirection w:val="lrTb"/>
            <w:noWrap w:val="false"/>
          </w:tcPr>
          <w:p>
            <w:pPr>
              <w:rPr>
                <w:color w:val="auto"/>
                <w:highlight w:val="none"/>
              </w:rPr>
            </w:pPr>
            <w:r>
              <w:rPr>
                <w:rFonts w:hint="eastAsia"/>
                <w:color w:val="auto"/>
                <w:highlight w:val="none"/>
              </w:rPr>
              <w:t xml:space="preserve">★</w:t>
            </w:r>
            <w:r>
              <w:rPr>
                <w:color w:val="auto"/>
                <w:highlight w:val="none"/>
              </w:rPr>
              <w:t xml:space="preserve">具备</w:t>
            </w:r>
            <w:r>
              <w:rPr>
                <w:rFonts w:hint="eastAsia"/>
                <w:color w:val="auto"/>
                <w:highlight w:val="none"/>
              </w:rPr>
              <w:t xml:space="preserve">测试仪表、副反射面位置和转台自动控制能力，</w:t>
            </w:r>
            <w:r>
              <w:rPr>
                <w:color w:val="auto"/>
                <w:highlight w:val="none"/>
              </w:rPr>
              <w:t xml:space="preserve">支持最大时延</w:t>
            </w:r>
            <w:r>
              <w:rPr>
                <w:rFonts w:hint="eastAsia"/>
                <w:color w:val="auto"/>
                <w:highlight w:val="none"/>
              </w:rPr>
              <w:t xml:space="preserve">设置、</w:t>
            </w:r>
            <w:r>
              <w:rPr>
                <w:color w:val="auto"/>
                <w:highlight w:val="none"/>
              </w:rPr>
              <w:t xml:space="preserve">最大多普勒频偏</w:t>
            </w:r>
            <w:r>
              <w:rPr>
                <w:rFonts w:hint="eastAsia"/>
                <w:color w:val="auto"/>
                <w:highlight w:val="none"/>
              </w:rPr>
              <w:t xml:space="preserve">设置和多目标设置能力，测试频率范围4GHz-40GHz；</w:t>
            </w:r>
            <w:r>
              <w:rPr>
                <w:color w:val="auto"/>
                <w:highlight w:val="none"/>
              </w:rPr>
              <w:t xml:space="preserve">模拟多径数量≥10；</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7.2.2</w:t>
            </w:r>
            <w:r/>
          </w:p>
        </w:tc>
        <w:tc>
          <w:tcPr>
            <w:tcW w:w="6945" w:type="dxa"/>
            <w:vAlign w:val="top"/>
            <w:textDirection w:val="lrTb"/>
            <w:noWrap w:val="false"/>
          </w:tcPr>
          <w:p>
            <w:pPr>
              <w:rPr>
                <w:color w:val="auto"/>
                <w:highlight w:val="none"/>
              </w:rPr>
            </w:pPr>
            <w:r>
              <w:rPr>
                <w:color w:val="auto"/>
                <w:highlight w:val="none"/>
              </w:rPr>
              <w:t xml:space="preserve">具备杂波、强干扰模拟能力；</w:t>
            </w:r>
            <w:r>
              <w:rPr>
                <w:rFonts w:hint="eastAsia"/>
                <w:color w:val="auto"/>
                <w:highlight w:val="none"/>
              </w:rPr>
              <w:t xml:space="preserve">可通过软件模拟瑞利杂波、对数正态杂波等不少于3种杂波，杂波功率谱密度动态调节范围≥30dBm/Hz;可模拟连续波（CW）、脉冲、调频（FM）等3 类及以上强干扰信号，干扰信号功率调节范围≥-30dBm~+20dBm，调节步长≤0.5dBm；</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7.2.3</w:t>
            </w:r>
            <w:r/>
          </w:p>
        </w:tc>
        <w:tc>
          <w:tcPr>
            <w:tcW w:w="6945" w:type="dxa"/>
            <w:vAlign w:val="top"/>
            <w:textDirection w:val="lrTb"/>
            <w:noWrap w:val="false"/>
          </w:tcPr>
          <w:p>
            <w:pPr>
              <w:rPr>
                <w:color w:val="auto"/>
                <w:highlight w:val="none"/>
              </w:rPr>
            </w:pPr>
            <w:r>
              <w:rPr>
                <w:rFonts w:hint="eastAsia"/>
                <w:color w:val="auto"/>
                <w:highlight w:val="none"/>
              </w:rPr>
              <w:t xml:space="preserve">支持设置的</w:t>
            </w:r>
            <w:r>
              <w:rPr>
                <w:color w:val="auto"/>
                <w:highlight w:val="none"/>
              </w:rPr>
              <w:t xml:space="preserve">测试频率范围覆盖：4GHz～</w:t>
            </w:r>
            <w:r>
              <w:rPr>
                <w:rFonts w:hint="eastAsia"/>
                <w:color w:val="auto"/>
                <w:highlight w:val="none"/>
              </w:rPr>
              <w:t xml:space="preserve">40</w:t>
            </w:r>
            <w:r>
              <w:rPr>
                <w:color w:val="auto"/>
                <w:highlight w:val="none"/>
              </w:rPr>
              <w:t xml:space="preserve">GHz</w:t>
            </w:r>
            <w:r>
              <w:rPr>
                <w:rFonts w:hint="eastAsia"/>
                <w:color w:val="auto"/>
                <w:highlight w:val="none"/>
              </w:rPr>
              <w:t xml:space="preserve">；</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restart"/>
            <w:textDirection w:val="lrTb"/>
            <w:noWrap w:val="false"/>
          </w:tcPr>
          <w:p>
            <w:pPr>
              <w:jc w:val="left"/>
              <w:rPr>
                <w:color w:val="auto"/>
                <w:highlight w:val="none"/>
              </w:rPr>
            </w:pPr>
            <w:r>
              <w:rPr>
                <w:rFonts w:hint="eastAsia"/>
                <w:color w:val="auto"/>
                <w:highlight w:val="none"/>
              </w:rPr>
              <w:t xml:space="preserve">7</w:t>
            </w:r>
            <w:r>
              <w:rPr>
                <w:color w:val="auto"/>
                <w:highlight w:val="none"/>
              </w:rPr>
              <w:t xml:space="preserve">.3</w:t>
            </w:r>
            <w:r/>
          </w:p>
          <w:p>
            <w:pPr>
              <w:jc w:val="center"/>
              <w:rPr>
                <w:rFonts w:hint="eastAsia"/>
                <w:color w:val="auto"/>
                <w:highlight w:val="none"/>
              </w:rPr>
            </w:pPr>
            <w:r>
              <w:rPr>
                <w:rFonts w:hint="eastAsia"/>
                <w:color w:val="auto"/>
                <w:highlight w:val="none"/>
              </w:rPr>
              <w:t xml:space="preserve">通信感知场景模拟功能</w:t>
            </w:r>
            <w:r/>
          </w:p>
        </w:tc>
        <w:tc>
          <w:tcPr>
            <w:tcW w:w="709" w:type="dxa"/>
            <w:vAlign w:val="top"/>
            <w:textDirection w:val="lrTb"/>
            <w:noWrap w:val="false"/>
          </w:tcPr>
          <w:p>
            <w:pPr>
              <w:rPr>
                <w:rFonts w:hint="eastAsia"/>
                <w:color w:val="auto"/>
                <w:highlight w:val="none"/>
              </w:rPr>
            </w:pPr>
            <w:r>
              <w:rPr>
                <w:rFonts w:hint="eastAsia"/>
                <w:color w:val="auto"/>
                <w:highlight w:val="none"/>
              </w:rPr>
              <w:t xml:space="preserve">7</w:t>
            </w:r>
            <w:r>
              <w:rPr>
                <w:color w:val="auto"/>
                <w:highlight w:val="none"/>
              </w:rPr>
              <w:t xml:space="preserve">.3.</w:t>
            </w:r>
            <w:r>
              <w:rPr>
                <w:rFonts w:hint="eastAsia"/>
                <w:color w:val="auto"/>
                <w:highlight w:val="none"/>
              </w:rPr>
              <w:t xml:space="preserve">1</w:t>
            </w:r>
            <w:r/>
          </w:p>
        </w:tc>
        <w:tc>
          <w:tcPr>
            <w:tcW w:w="6945" w:type="dxa"/>
            <w:vAlign w:val="top"/>
            <w:textDirection w:val="lrTb"/>
            <w:noWrap w:val="false"/>
          </w:tcPr>
          <w:p>
            <w:pPr>
              <w:rPr>
                <w:color w:val="auto"/>
                <w:highlight w:val="none"/>
              </w:rPr>
            </w:pPr>
            <w:r>
              <w:rPr>
                <w:rFonts w:hint="eastAsia"/>
                <w:color w:val="auto"/>
                <w:highlight w:val="none"/>
              </w:rPr>
              <w:t xml:space="preserve">通过调控副反射面，实现单一方向杂波来波角度覆盖15°~90°；</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7.3.2</w:t>
            </w:r>
            <w:r/>
          </w:p>
        </w:tc>
        <w:tc>
          <w:tcPr>
            <w:tcW w:w="6945" w:type="dxa"/>
            <w:vAlign w:val="top"/>
            <w:textDirection w:val="lrTb"/>
            <w:noWrap w:val="false"/>
          </w:tcPr>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通过控制线阵馈源，可实现-10°~+10°范围内任意来波方向的静区环境。</w:t>
            </w:r>
            <w:r>
              <w:rPr>
                <w:color w:val="auto"/>
                <w:highlight w:val="none"/>
              </w:rPr>
              <w:t xml:space="preserve"> </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7.3.3</w:t>
            </w:r>
            <w:r/>
          </w:p>
        </w:tc>
        <w:tc>
          <w:tcPr>
            <w:tcW w:w="6945" w:type="dxa"/>
            <w:vAlign w:val="top"/>
            <w:textDirection w:val="lrTb"/>
            <w:noWrap w:val="false"/>
          </w:tcPr>
          <w:p>
            <w:pPr>
              <w:rPr>
                <w:color w:val="auto"/>
                <w:highlight w:val="none"/>
              </w:rPr>
            </w:pPr>
            <w:r>
              <w:rPr>
                <w:rFonts w:hint="eastAsia"/>
                <w:color w:val="auto"/>
                <w:highlight w:val="none"/>
              </w:rPr>
              <w:t xml:space="preserve">通过控制线阵馈源，可实现</w:t>
            </w:r>
            <w:r>
              <w:rPr>
                <w:color w:val="auto"/>
                <w:highlight w:val="none"/>
              </w:rPr>
              <w:t xml:space="preserve">临近角度多方向干扰模拟的同时来波方向≥</w:t>
            </w:r>
            <w:r>
              <w:rPr>
                <w:rFonts w:hint="eastAsia"/>
                <w:color w:val="auto"/>
                <w:highlight w:val="none"/>
              </w:rPr>
              <w:t xml:space="preserve">2</w:t>
            </w:r>
            <w:r>
              <w:rPr>
                <w:color w:val="auto"/>
                <w:highlight w:val="none"/>
              </w:rPr>
              <w:t xml:space="preserve">个</w:t>
            </w:r>
            <w:r>
              <w:rPr>
                <w:rFonts w:hint="eastAsia"/>
                <w:color w:val="auto"/>
                <w:highlight w:val="none"/>
              </w:rPr>
              <w:t xml:space="preserve">；</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restart"/>
            <w:textDirection w:val="lrTb"/>
            <w:noWrap w:val="false"/>
          </w:tcPr>
          <w:p>
            <w:pPr>
              <w:jc w:val="left"/>
              <w:rPr>
                <w:rFonts w:hint="eastAsia"/>
                <w:color w:val="auto"/>
                <w:highlight w:val="none"/>
              </w:rPr>
            </w:pPr>
            <w:r>
              <w:rPr>
                <w:rFonts w:hint="eastAsia"/>
                <w:color w:val="auto"/>
                <w:highlight w:val="none"/>
              </w:rPr>
              <w:t xml:space="preserve">7</w:t>
            </w:r>
            <w:r>
              <w:rPr>
                <w:color w:val="auto"/>
                <w:highlight w:val="none"/>
              </w:rPr>
              <w:t xml:space="preserve">.</w:t>
            </w:r>
            <w:r>
              <w:rPr>
                <w:rFonts w:hint="eastAsia"/>
                <w:color w:val="auto"/>
                <w:highlight w:val="none"/>
              </w:rPr>
              <w:t xml:space="preserve">4</w:t>
            </w:r>
            <w:r/>
          </w:p>
          <w:p>
            <w:pPr>
              <w:jc w:val="center"/>
              <w:rPr>
                <w:rFonts w:hint="eastAsia"/>
                <w:color w:val="auto"/>
                <w:highlight w:val="none"/>
              </w:rPr>
            </w:pPr>
            <w:r>
              <w:rPr>
                <w:color w:val="auto"/>
                <w:highlight w:val="none"/>
              </w:rPr>
              <w:t xml:space="preserve">通感基站测试</w:t>
            </w:r>
            <w:r>
              <w:rPr>
                <w:rFonts w:hint="eastAsia"/>
                <w:color w:val="auto"/>
                <w:highlight w:val="none"/>
              </w:rPr>
              <w:t xml:space="preserve">功能</w:t>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w:t>
            </w:r>
            <w:r>
              <w:rPr>
                <w:color w:val="auto"/>
                <w:highlight w:val="none"/>
              </w:rPr>
              <w:t xml:space="preserve">.</w:t>
            </w:r>
            <w:r>
              <w:rPr>
                <w:rFonts w:hint="eastAsia"/>
                <w:color w:val="auto"/>
                <w:highlight w:val="none"/>
              </w:rPr>
              <w:t xml:space="preserve">4</w:t>
            </w:r>
            <w:r>
              <w:rPr>
                <w:color w:val="auto"/>
                <w:highlight w:val="none"/>
              </w:rPr>
              <w:t xml:space="preserve">.1</w:t>
            </w:r>
            <w:r/>
          </w:p>
        </w:tc>
        <w:tc>
          <w:tcPr>
            <w:tcW w:w="6945" w:type="dxa"/>
            <w:vAlign w:val="top"/>
            <w:textDirection w:val="lrTb"/>
            <w:noWrap w:val="false"/>
          </w:tcPr>
          <w:p>
            <w:pPr>
              <w:rPr>
                <w:color w:val="auto"/>
                <w:highlight w:val="none"/>
              </w:rPr>
            </w:pPr>
            <w:r>
              <w:rPr>
                <w:rFonts w:hint="eastAsia"/>
                <w:color w:val="auto"/>
                <w:highlight w:val="none"/>
              </w:rPr>
              <w:t xml:space="preserve">具备控制线阵馈电网络和测试仪表能力，提供专用算法支持</w:t>
            </w:r>
            <w:r>
              <w:rPr>
                <w:color w:val="auto"/>
                <w:highlight w:val="none"/>
              </w:rPr>
              <w:t xml:space="preserve">通感基站宽角域超高角度分辨率测试；</w:t>
            </w:r>
            <w:r>
              <w:rPr>
                <w:rFonts w:hint="eastAsia"/>
                <w:color w:val="auto"/>
                <w:highlight w:val="none"/>
              </w:rPr>
              <w:t xml:space="preserve">可模拟两个相邻目标的角度间隔测试，连续 100 次角度切换后，累计定位偏差不超过 0.3°；</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w:t>
            </w:r>
            <w:r>
              <w:rPr>
                <w:color w:val="auto"/>
                <w:highlight w:val="none"/>
              </w:rPr>
              <w:t xml:space="preserve">.</w:t>
            </w:r>
            <w:r>
              <w:rPr>
                <w:rFonts w:hint="eastAsia"/>
                <w:color w:val="auto"/>
                <w:highlight w:val="none"/>
              </w:rPr>
              <w:t xml:space="preserve">4</w:t>
            </w:r>
            <w:r>
              <w:rPr>
                <w:color w:val="auto"/>
                <w:highlight w:val="none"/>
              </w:rPr>
              <w:t xml:space="preserve">.</w:t>
            </w:r>
            <w:r>
              <w:rPr>
                <w:rFonts w:hint="eastAsia"/>
                <w:color w:val="auto"/>
                <w:highlight w:val="none"/>
              </w:rPr>
              <w:t xml:space="preserve">2</w:t>
            </w:r>
            <w:r/>
          </w:p>
        </w:tc>
        <w:tc>
          <w:tcPr>
            <w:tcW w:w="6945" w:type="dxa"/>
            <w:vAlign w:val="top"/>
            <w:textDirection w:val="lrTb"/>
            <w:noWrap w:val="false"/>
          </w:tcPr>
          <w:p>
            <w:pPr>
              <w:rPr>
                <w:color w:val="auto"/>
                <w:highlight w:val="none"/>
              </w:rPr>
            </w:pPr>
            <w:r>
              <w:rPr>
                <w:rFonts w:hint="eastAsia"/>
                <w:color w:val="auto"/>
                <w:highlight w:val="none"/>
              </w:rPr>
              <w:t xml:space="preserve">★</w:t>
            </w:r>
            <w:r>
              <w:rPr>
                <w:color w:val="auto"/>
                <w:highlight w:val="none"/>
              </w:rPr>
              <w:t xml:space="preserve">感知目标间角度</w:t>
            </w:r>
            <w:r>
              <w:rPr>
                <w:rFonts w:hint="eastAsia"/>
                <w:color w:val="auto"/>
                <w:highlight w:val="none"/>
              </w:rPr>
              <w:t xml:space="preserve">可调整，调整步进0.5°，</w:t>
            </w:r>
            <w:r>
              <w:rPr>
                <w:color w:val="auto"/>
                <w:highlight w:val="none"/>
              </w:rPr>
              <w:t xml:space="preserve">感知目标间角度</w:t>
            </w:r>
            <w:r>
              <w:rPr>
                <w:rFonts w:hint="eastAsia"/>
                <w:color w:val="auto"/>
                <w:highlight w:val="none"/>
              </w:rPr>
              <w:t xml:space="preserve">最小可设置值</w:t>
            </w:r>
            <w:r>
              <w:rPr>
                <w:color w:val="auto"/>
                <w:highlight w:val="none"/>
              </w:rPr>
              <w:t xml:space="preserve">≤3.5°；模拟目标数量≥3；目标方位角调控范围优于1°～10°；</w:t>
            </w:r>
            <w:r/>
          </w:p>
        </w:tc>
      </w:tr>
      <w:tr>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w:t>
            </w:r>
            <w:r>
              <w:rPr>
                <w:color w:val="auto"/>
                <w:highlight w:val="none"/>
              </w:rPr>
              <w:t xml:space="preserve">.</w:t>
            </w:r>
            <w:r>
              <w:rPr>
                <w:rFonts w:hint="eastAsia"/>
                <w:color w:val="auto"/>
                <w:highlight w:val="none"/>
              </w:rPr>
              <w:t xml:space="preserve">4</w:t>
            </w:r>
            <w:r>
              <w:rPr>
                <w:color w:val="auto"/>
                <w:highlight w:val="none"/>
              </w:rPr>
              <w:t xml:space="preserve">.</w:t>
            </w:r>
            <w:r>
              <w:rPr>
                <w:rFonts w:hint="eastAsia"/>
                <w:color w:val="auto"/>
                <w:highlight w:val="none"/>
              </w:rPr>
              <w:t xml:space="preserve">3</w:t>
            </w:r>
            <w:r/>
          </w:p>
        </w:tc>
        <w:tc>
          <w:tcPr>
            <w:tcW w:w="6945" w:type="dxa"/>
            <w:vAlign w:val="top"/>
            <w:textDirection w:val="lrTb"/>
            <w:noWrap w:val="false"/>
          </w:tcPr>
          <w:p>
            <w:pPr>
              <w:rPr>
                <w:color w:val="auto"/>
                <w:highlight w:val="none"/>
              </w:rPr>
            </w:pPr>
            <w:r>
              <w:rPr>
                <w:color w:val="auto"/>
                <w:highlight w:val="none"/>
              </w:rPr>
              <w:t xml:space="preserve">具备</w:t>
            </w:r>
            <w:r>
              <w:rPr>
                <w:rFonts w:hint="eastAsia"/>
                <w:color w:val="auto"/>
                <w:highlight w:val="none"/>
              </w:rPr>
              <w:t xml:space="preserve">配合仪表进行</w:t>
            </w:r>
            <w:r>
              <w:rPr>
                <w:color w:val="auto"/>
                <w:highlight w:val="none"/>
              </w:rPr>
              <w:t xml:space="preserve">EIRP、EVM、EIS等射频指标测试</w:t>
            </w:r>
            <w:r>
              <w:rPr>
                <w:rFonts w:hint="eastAsia"/>
                <w:color w:val="auto"/>
                <w:highlight w:val="none"/>
              </w:rPr>
              <w:t xml:space="preserve">能力</w:t>
            </w:r>
            <w:r>
              <w:rPr>
                <w:color w:val="auto"/>
                <w:highlight w:val="none"/>
              </w:rPr>
              <w:t xml:space="preserve">，</w:t>
            </w:r>
            <w:r>
              <w:rPr>
                <w:rFonts w:hint="eastAsia"/>
                <w:color w:val="auto"/>
                <w:highlight w:val="none"/>
              </w:rPr>
              <w:t xml:space="preserve">能够在用户界面显示测量获得的射频指标，</w:t>
            </w:r>
            <w:r>
              <w:rPr>
                <w:color w:val="auto"/>
                <w:highlight w:val="none"/>
              </w:rPr>
              <w:t xml:space="preserve">具有</w:t>
            </w:r>
            <w:r>
              <w:rPr>
                <w:rFonts w:hint="eastAsia"/>
                <w:color w:val="auto"/>
                <w:highlight w:val="none"/>
              </w:rPr>
              <w:t xml:space="preserve">自动化</w:t>
            </w:r>
            <w:r>
              <w:rPr>
                <w:color w:val="auto"/>
                <w:highlight w:val="none"/>
              </w:rPr>
              <w:t xml:space="preserve">数据采集、存储、导出功能</w:t>
            </w:r>
            <w:r>
              <w:rPr>
                <w:rFonts w:hint="eastAsia"/>
                <w:color w:val="auto"/>
                <w:highlight w:val="none"/>
              </w:rPr>
              <w:t xml:space="preserve">，可在用户界面比对当前测试结果和历史测试结果</w:t>
            </w:r>
            <w:r>
              <w:rPr>
                <w:color w:val="auto"/>
                <w:highlight w:val="none"/>
              </w:rPr>
              <w:t xml:space="preserve">；</w:t>
            </w:r>
            <w:r/>
          </w:p>
        </w:tc>
      </w:tr>
      <w:tr>
        <w:trPr>
          <w:trHeight w:val="90"/>
        </w:trPr>
        <w:tc>
          <w:tcPr>
            <w:tcW w:w="1447" w:type="dxa"/>
            <w:vAlign w:val="top"/>
            <w:vMerge w:val="continue"/>
            <w:textDirection w:val="lrTb"/>
            <w:noWrap w:val="false"/>
          </w:tcPr>
          <w:p>
            <w:pPr>
              <w:rPr>
                <w:color w:val="auto"/>
                <w:highlight w:val="none"/>
              </w:rPr>
            </w:pPr>
            <w:r>
              <w:rPr>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7</w:t>
            </w:r>
            <w:r>
              <w:rPr>
                <w:color w:val="auto"/>
                <w:highlight w:val="none"/>
              </w:rPr>
              <w:t xml:space="preserve">.</w:t>
            </w:r>
            <w:r>
              <w:rPr>
                <w:rFonts w:hint="eastAsia"/>
                <w:color w:val="auto"/>
                <w:highlight w:val="none"/>
              </w:rPr>
              <w:t xml:space="preserve">4</w:t>
            </w:r>
            <w:r>
              <w:rPr>
                <w:color w:val="auto"/>
                <w:highlight w:val="none"/>
              </w:rPr>
              <w:t xml:space="preserve">.</w:t>
            </w:r>
            <w:r>
              <w:rPr>
                <w:rFonts w:hint="eastAsia"/>
                <w:color w:val="auto"/>
                <w:highlight w:val="none"/>
              </w:rPr>
              <w:t xml:space="preserve">4</w:t>
            </w:r>
            <w:r/>
          </w:p>
        </w:tc>
        <w:tc>
          <w:tcPr>
            <w:tcW w:w="6945" w:type="dxa"/>
            <w:vAlign w:val="top"/>
            <w:textDirection w:val="lrTb"/>
            <w:noWrap w:val="false"/>
          </w:tcPr>
          <w:p>
            <w:pPr>
              <w:rPr>
                <w:color w:val="auto"/>
                <w:highlight w:val="none"/>
              </w:rPr>
            </w:pPr>
            <w:r>
              <w:rPr>
                <w:rFonts w:hint="eastAsia"/>
                <w:color w:val="auto"/>
                <w:highlight w:val="none"/>
              </w:rPr>
              <w:t xml:space="preserve">最大支持</w:t>
            </w:r>
            <w:r>
              <w:rPr>
                <w:color w:val="auto"/>
                <w:highlight w:val="none"/>
              </w:rPr>
              <w:t xml:space="preserve">工作频率范围4GHz～</w:t>
            </w:r>
            <w:r>
              <w:rPr>
                <w:rFonts w:hint="eastAsia"/>
                <w:color w:val="auto"/>
                <w:highlight w:val="none"/>
              </w:rPr>
              <w:t xml:space="preserve">40</w:t>
            </w:r>
            <w:r>
              <w:rPr>
                <w:color w:val="auto"/>
                <w:highlight w:val="none"/>
              </w:rPr>
              <w:t xml:space="preserve">GHz</w:t>
            </w:r>
            <w:r>
              <w:rPr>
                <w:rFonts w:hint="eastAsia"/>
                <w:color w:val="auto"/>
                <w:highlight w:val="none"/>
              </w:rPr>
              <w:t xml:space="preserve">；</w:t>
            </w:r>
            <w:r/>
          </w:p>
        </w:tc>
      </w:tr>
      <w:tr>
        <w:trPr/>
        <w:tc>
          <w:tcPr>
            <w:tcW w:w="1447" w:type="dxa"/>
            <w:vAlign w:val="top"/>
            <w:vMerge w:val="restart"/>
            <w:textDirection w:val="lrTb"/>
            <w:noWrap w:val="false"/>
          </w:tcPr>
          <w:p>
            <w:pPr>
              <w:rPr>
                <w:rFonts w:hint="eastAsia"/>
                <w:color w:val="auto"/>
                <w:highlight w:val="none"/>
              </w:rPr>
            </w:pPr>
            <w:r>
              <w:rPr>
                <w:rFonts w:hint="eastAsia"/>
                <w:color w:val="auto"/>
                <w:highlight w:val="none"/>
              </w:rPr>
              <w:t xml:space="preserve">★8.基本软件</w:t>
            </w:r>
            <w:r/>
          </w:p>
        </w:tc>
        <w:tc>
          <w:tcPr>
            <w:tcW w:w="709" w:type="dxa"/>
            <w:vAlign w:val="top"/>
            <w:vMerge w:val="restart"/>
            <w:textDirection w:val="lrTb"/>
            <w:noWrap w:val="false"/>
          </w:tcPr>
          <w:p>
            <w:pPr>
              <w:rPr>
                <w:color w:val="auto"/>
                <w:highlight w:val="none"/>
              </w:rPr>
            </w:pPr>
            <w:r>
              <w:rPr>
                <w:rFonts w:hint="eastAsia"/>
                <w:color w:val="auto"/>
                <w:highlight w:val="none"/>
              </w:rPr>
              <w:t xml:space="preserve">8</w:t>
            </w:r>
            <w:r>
              <w:rPr>
                <w:color w:val="auto"/>
                <w:highlight w:val="none"/>
              </w:rPr>
              <w:t xml:space="preserve">.1</w:t>
            </w:r>
            <w:r/>
          </w:p>
          <w:p>
            <w:pPr>
              <w:pStyle w:val="947"/>
              <w:ind w:firstLine="0"/>
              <w:spacing w:line="240" w:lineRule="auto"/>
              <w:rPr>
                <w:rFonts w:hint="eastAsia"/>
                <w:color w:val="auto"/>
                <w:highlight w:val="none"/>
              </w:rPr>
            </w:pPr>
            <w:r>
              <w:rPr>
                <w:color w:val="auto"/>
                <w:highlight w:val="none"/>
              </w:rPr>
              <w:t xml:space="preserve">天线辐射测试</w:t>
            </w:r>
            <w:r>
              <w:rPr>
                <w:rFonts w:hint="eastAsia"/>
                <w:color w:val="auto"/>
                <w:highlight w:val="none"/>
              </w:rPr>
              <w:t xml:space="preserve">功能</w:t>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8.1.1</w:t>
            </w:r>
            <w:r/>
          </w:p>
        </w:tc>
        <w:tc>
          <w:tcPr>
            <w:tcW w:w="6945" w:type="dxa"/>
            <w:vAlign w:val="top"/>
            <w:textDirection w:val="lrTb"/>
            <w:noWrap w:val="false"/>
          </w:tcPr>
          <w:p>
            <w:pPr>
              <w:rPr>
                <w:color w:val="auto"/>
                <w:highlight w:val="none"/>
              </w:rPr>
            </w:pPr>
            <w:r>
              <w:rPr>
                <w:rFonts w:hint="eastAsia"/>
                <w:color w:val="auto"/>
                <w:highlight w:val="none"/>
              </w:rPr>
              <w:t xml:space="preserve">具备天线方向图等辐射性能测量和分析功能；</w:t>
            </w:r>
            <w:r/>
          </w:p>
        </w:tc>
      </w:tr>
      <w:tr>
        <w:trPr>
          <w:trHeight w:val="242"/>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8.1.2</w:t>
            </w:r>
            <w:r/>
          </w:p>
        </w:tc>
        <w:tc>
          <w:tcPr>
            <w:tcW w:w="6945" w:type="dxa"/>
            <w:vAlign w:val="top"/>
            <w:textDirection w:val="lrTb"/>
            <w:noWrap w:val="false"/>
          </w:tcPr>
          <w:p>
            <w:pPr>
              <w:rPr>
                <w:rFonts w:hint="eastAsia"/>
                <w:color w:val="auto"/>
                <w:highlight w:val="none"/>
              </w:rPr>
            </w:pPr>
            <w:r>
              <w:rPr>
                <w:rFonts w:hint="eastAsia"/>
                <w:color w:val="auto"/>
                <w:highlight w:val="none"/>
              </w:rPr>
              <w:t xml:space="preserve">具有天线数据分析功能，包括方向图、增益、极化、轴比、波束宽度等性能参数；能分析和标识天线波束指向、波束宽度、零值深度、零点位置、副瓣电平、副瓣位置、交叉极化、轴比等方向图参数；</w:t>
            </w:r>
            <w:r/>
          </w:p>
        </w:tc>
      </w:tr>
      <w:tr>
        <w:trPr>
          <w:trHeight w:val="242"/>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8.1.3</w:t>
            </w:r>
            <w:r/>
          </w:p>
        </w:tc>
        <w:tc>
          <w:tcPr>
            <w:tcW w:w="6945" w:type="dxa"/>
            <w:vAlign w:val="top"/>
            <w:textDirection w:val="lrTb"/>
            <w:noWrap w:val="false"/>
          </w:tcPr>
          <w:p>
            <w:pPr>
              <w:rPr>
                <w:color w:val="auto"/>
                <w:highlight w:val="none"/>
              </w:rPr>
            </w:pPr>
            <w:r>
              <w:rPr>
                <w:rFonts w:hint="eastAsia"/>
                <w:color w:val="auto"/>
                <w:highlight w:val="none"/>
              </w:rPr>
              <w:t xml:space="preserve">具备被测天线（AUT）接收模式/发射模式测试能力；</w:t>
            </w:r>
            <w:r/>
          </w:p>
        </w:tc>
      </w:tr>
      <w:tr>
        <w:trPr>
          <w:trHeight w:val="242"/>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8.1.4</w:t>
            </w:r>
            <w:r/>
          </w:p>
        </w:tc>
        <w:tc>
          <w:tcPr>
            <w:tcW w:w="6945" w:type="dxa"/>
            <w:vAlign w:val="top"/>
            <w:textDirection w:val="lrTb"/>
            <w:noWrap w:val="false"/>
          </w:tcPr>
          <w:p>
            <w:pPr>
              <w:rPr>
                <w:color w:val="auto"/>
                <w:highlight w:val="none"/>
              </w:rPr>
            </w:pPr>
            <w:r>
              <w:rPr>
                <w:rFonts w:hint="eastAsia"/>
                <w:color w:val="auto"/>
                <w:highlight w:val="none"/>
              </w:rPr>
              <w:t xml:space="preserve">可进行天线增益、轴比、交叉极化、相位中心等指标的测试；</w:t>
            </w:r>
            <w:r/>
          </w:p>
        </w:tc>
      </w:tr>
      <w:tr>
        <w:trPr>
          <w:trHeight w:val="242"/>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8.1.5</w:t>
            </w:r>
            <w:r/>
          </w:p>
        </w:tc>
        <w:tc>
          <w:tcPr>
            <w:tcW w:w="6945" w:type="dxa"/>
            <w:vAlign w:val="top"/>
            <w:textDirection w:val="lrTb"/>
            <w:noWrap w:val="false"/>
          </w:tcPr>
          <w:p>
            <w:pPr>
              <w:rPr>
                <w:rFonts w:hint="eastAsia"/>
                <w:color w:val="auto"/>
                <w:highlight w:val="none"/>
              </w:rPr>
            </w:pPr>
            <w:r>
              <w:rPr>
                <w:rFonts w:hint="eastAsia"/>
                <w:color w:val="auto"/>
                <w:highlight w:val="none"/>
              </w:rPr>
              <w:t xml:space="preserve">可以比较多次测试的结果；可以选择显示的坐标系，有直角坐标、极坐标；能够对天线参数在直角坐标和极坐标中进行计算、比较、分析和处理，可以对方向图进行旋转、移动等操作；</w:t>
            </w:r>
            <w:r/>
          </w:p>
        </w:tc>
      </w:tr>
      <w:tr>
        <w:trPr>
          <w:trHeight w:val="242"/>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rFonts w:hint="eastAsia"/>
                <w:color w:val="auto"/>
                <w:highlight w:val="none"/>
              </w:rPr>
              <w:t xml:space="preserve">8.1.6</w:t>
            </w:r>
            <w:r/>
          </w:p>
        </w:tc>
        <w:tc>
          <w:tcPr>
            <w:tcW w:w="6945" w:type="dxa"/>
            <w:vAlign w:val="top"/>
            <w:textDirection w:val="lrTb"/>
            <w:noWrap w:val="false"/>
          </w:tcPr>
          <w:p>
            <w:pPr>
              <w:rPr>
                <w:rFonts w:hint="eastAsia"/>
                <w:color w:val="auto"/>
                <w:highlight w:val="none"/>
              </w:rPr>
            </w:pPr>
            <w:r>
              <w:rPr>
                <w:rFonts w:hint="eastAsia" w:ascii="宋体" w:hAnsi="宋体" w:cs="宋体"/>
                <w:color w:val="auto"/>
                <w:szCs w:val="21"/>
                <w:highlight w:val="none"/>
              </w:rPr>
              <w:t xml:space="preserve">能显示二维图、三维图、等值线图等；</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restart"/>
            <w:textDirection w:val="lrTb"/>
            <w:noWrap w:val="false"/>
          </w:tcPr>
          <w:p>
            <w:pPr>
              <w:rPr>
                <w:color w:val="auto"/>
                <w:highlight w:val="none"/>
              </w:rPr>
            </w:pPr>
            <w:r>
              <w:rPr>
                <w:rFonts w:hint="eastAsia"/>
                <w:color w:val="auto"/>
                <w:highlight w:val="none"/>
              </w:rPr>
              <w:t xml:space="preserve">8</w:t>
            </w:r>
            <w:r>
              <w:rPr>
                <w:color w:val="auto"/>
                <w:highlight w:val="none"/>
              </w:rPr>
              <w:t xml:space="preserve">.2</w:t>
            </w:r>
            <w:r/>
          </w:p>
          <w:p>
            <w:pPr>
              <w:pStyle w:val="947"/>
              <w:ind w:firstLine="0"/>
              <w:spacing w:line="240" w:lineRule="auto"/>
              <w:rPr>
                <w:rFonts w:hint="eastAsia"/>
                <w:color w:val="auto"/>
                <w:highlight w:val="none"/>
              </w:rPr>
            </w:pPr>
            <w:r>
              <w:rPr>
                <w:rFonts w:hint="eastAsia"/>
                <w:color w:val="auto"/>
                <w:highlight w:val="none"/>
              </w:rPr>
              <w:t xml:space="preserve">RCS测试功能</w:t>
            </w:r>
            <w:r/>
          </w:p>
        </w:tc>
        <w:tc>
          <w:tcPr>
            <w:tcW w:w="709" w:type="dxa"/>
            <w:vAlign w:val="top"/>
            <w:textDirection w:val="lrTb"/>
            <w:noWrap w:val="false"/>
          </w:tcPr>
          <w:p>
            <w:pPr>
              <w:jc w:val="center"/>
              <w:rPr>
                <w:rFonts w:hint="eastAsia"/>
                <w:color w:val="auto"/>
                <w:highlight w:val="none"/>
              </w:rPr>
            </w:pPr>
            <w:r>
              <w:rPr>
                <w:color w:val="auto"/>
                <w:highlight w:val="none"/>
              </w:rPr>
              <w:t xml:space="preserve">8.2.1</w:t>
            </w:r>
            <w:r/>
          </w:p>
        </w:tc>
        <w:tc>
          <w:tcPr>
            <w:tcW w:w="6945" w:type="dxa"/>
            <w:vAlign w:val="top"/>
            <w:textDirection w:val="lrTb"/>
            <w:noWrap w:val="false"/>
          </w:tcPr>
          <w:p>
            <w:pPr>
              <w:rPr>
                <w:color w:val="auto"/>
                <w:highlight w:val="none"/>
              </w:rPr>
            </w:pPr>
            <w:r>
              <w:rPr>
                <w:color w:val="auto"/>
                <w:highlight w:val="none"/>
              </w:rPr>
              <w:t xml:space="preserve">具有点频、扫频、一维高分辨率和二维高分辨率散射测量和分析功能；</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color w:val="auto"/>
                <w:highlight w:val="none"/>
              </w:rPr>
              <w:t xml:space="preserve">8.2.2</w:t>
            </w:r>
            <w:r/>
          </w:p>
        </w:tc>
        <w:tc>
          <w:tcPr>
            <w:tcW w:w="6945" w:type="dxa"/>
            <w:vAlign w:val="top"/>
            <w:textDirection w:val="lrTb"/>
            <w:noWrap w:val="false"/>
          </w:tcPr>
          <w:p>
            <w:pPr>
              <w:rPr>
                <w:rFonts w:hint="eastAsia"/>
                <w:color w:val="auto"/>
                <w:highlight w:val="none"/>
              </w:rPr>
            </w:pPr>
            <w:r/>
            <w:bookmarkStart w:id="203" w:name="OLE_LINK20"/>
            <w:r>
              <w:rPr>
                <w:color w:val="auto"/>
                <w:highlight w:val="none"/>
              </w:rPr>
              <w:t xml:space="preserve">具备硬件和软件时域门选通功能；</w:t>
            </w:r>
            <w:bookmarkEnd w:id="203"/>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color w:val="auto"/>
                <w:highlight w:val="none"/>
              </w:rPr>
            </w:pPr>
            <w:r>
              <w:rPr>
                <w:color w:val="auto"/>
                <w:highlight w:val="none"/>
              </w:rPr>
              <w:t xml:space="preserve">8.2.3</w:t>
            </w:r>
            <w:r/>
          </w:p>
        </w:tc>
        <w:tc>
          <w:tcPr>
            <w:tcW w:w="6945" w:type="dxa"/>
            <w:vAlign w:val="top"/>
            <w:textDirection w:val="lrTb"/>
            <w:noWrap w:val="false"/>
          </w:tcPr>
          <w:p>
            <w:pPr>
              <w:rPr>
                <w:color w:val="auto"/>
                <w:highlight w:val="none"/>
              </w:rPr>
            </w:pPr>
            <w:r>
              <w:rPr>
                <w:rFonts w:hint="eastAsia" w:ascii="宋体" w:hAnsi="宋体" w:cs="宋体"/>
                <w:color w:val="auto"/>
                <w:szCs w:val="21"/>
                <w:highlight w:val="none"/>
              </w:rPr>
              <w:t xml:space="preserve">具备成像方法的选择、窗口大小、窗函数等设置功能；</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color w:val="auto"/>
                <w:highlight w:val="none"/>
              </w:rPr>
            </w:pPr>
            <w:r>
              <w:rPr>
                <w:color w:val="auto"/>
                <w:highlight w:val="none"/>
              </w:rPr>
              <w:t xml:space="preserve">8.2.4</w:t>
            </w:r>
            <w:r/>
          </w:p>
        </w:tc>
        <w:tc>
          <w:tcPr>
            <w:tcW w:w="6945" w:type="dxa"/>
            <w:vAlign w:val="top"/>
            <w:textDirection w:val="lrTb"/>
            <w:noWrap w:val="false"/>
          </w:tcPr>
          <w:p>
            <w:pPr>
              <w:rPr>
                <w:color w:val="auto"/>
                <w:highlight w:val="none"/>
              </w:rPr>
            </w:pPr>
            <w:r>
              <w:rPr>
                <w:rFonts w:hint="eastAsia" w:ascii="宋体" w:hAnsi="宋体" w:cs="宋体"/>
                <w:color w:val="auto"/>
                <w:szCs w:val="21"/>
                <w:highlight w:val="none"/>
              </w:rPr>
              <w:t xml:space="preserve">具备垂直、水平极化测试功能；</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color w:val="auto"/>
                <w:highlight w:val="none"/>
              </w:rPr>
            </w:pPr>
            <w:r>
              <w:rPr>
                <w:color w:val="auto"/>
                <w:highlight w:val="none"/>
              </w:rPr>
              <w:t xml:space="preserve">8.2.5</w:t>
            </w:r>
            <w:r/>
          </w:p>
        </w:tc>
        <w:tc>
          <w:tcPr>
            <w:tcW w:w="6945" w:type="dxa"/>
            <w:vAlign w:val="top"/>
            <w:textDirection w:val="lrTb"/>
            <w:noWrap w:val="false"/>
          </w:tcPr>
          <w:p>
            <w:pPr>
              <w:rPr>
                <w:color w:val="auto"/>
                <w:highlight w:val="none"/>
              </w:rPr>
            </w:pPr>
            <w:r>
              <w:rPr>
                <w:rFonts w:hint="eastAsia" w:ascii="宋体" w:hAnsi="宋体" w:cs="宋体"/>
                <w:color w:val="auto"/>
                <w:szCs w:val="21"/>
                <w:highlight w:val="none"/>
              </w:rPr>
              <w:t xml:space="preserve">具备已有标准体测试数据、背景测试数据快速调用功能。</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color w:val="auto"/>
                <w:highlight w:val="none"/>
              </w:rPr>
              <w:t xml:space="preserve">8.2.6</w:t>
            </w:r>
            <w:r/>
          </w:p>
        </w:tc>
        <w:tc>
          <w:tcPr>
            <w:tcW w:w="6945" w:type="dxa"/>
            <w:vAlign w:val="top"/>
            <w:textDirection w:val="lrTb"/>
            <w:noWrap w:val="false"/>
          </w:tcPr>
          <w:p>
            <w:pPr>
              <w:rPr>
                <w:rFonts w:hint="eastAsia"/>
                <w:color w:val="auto"/>
                <w:highlight w:val="none"/>
              </w:rPr>
            </w:pPr>
            <w:r>
              <w:rPr>
                <w:color w:val="auto"/>
                <w:highlight w:val="none"/>
              </w:rPr>
              <w:t xml:space="preserve">具备多通道通信信号接入能力，降低各路径的通信串扰，实现空间无线缆接入。同时，具备通信和散射同时测试的能力</w:t>
            </w:r>
            <w:r>
              <w:rPr>
                <w:rFonts w:hint="eastAsia"/>
                <w:color w:val="auto"/>
                <w:highlight w:val="none"/>
              </w:rPr>
              <w:t xml:space="preserve">；</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color w:val="auto"/>
                <w:highlight w:val="none"/>
              </w:rPr>
              <w:t xml:space="preserve">8.2.</w:t>
            </w:r>
            <w:r>
              <w:rPr>
                <w:rFonts w:hint="eastAsia"/>
                <w:color w:val="auto"/>
                <w:highlight w:val="none"/>
              </w:rPr>
              <w:t xml:space="preserve">7</w:t>
            </w:r>
            <w:r/>
          </w:p>
        </w:tc>
        <w:tc>
          <w:tcPr>
            <w:tcW w:w="6945" w:type="dxa"/>
            <w:vAlign w:val="top"/>
            <w:textDirection w:val="lrTb"/>
            <w:noWrap w:val="false"/>
          </w:tcPr>
          <w:p>
            <w:pPr>
              <w:rPr>
                <w:color w:val="auto"/>
                <w:highlight w:val="none"/>
              </w:rPr>
            </w:pPr>
            <w:r>
              <w:rPr>
                <w:color w:val="auto"/>
                <w:highlight w:val="none"/>
              </w:rPr>
              <w:t xml:space="preserve">具备选择测试方式功能，包含单站，双站；</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color w:val="auto"/>
                <w:highlight w:val="none"/>
              </w:rPr>
              <w:t xml:space="preserve">8.2.</w:t>
            </w:r>
            <w:r>
              <w:rPr>
                <w:rFonts w:hint="eastAsia"/>
                <w:color w:val="auto"/>
                <w:highlight w:val="none"/>
              </w:rPr>
              <w:t xml:space="preserve">8</w:t>
            </w:r>
            <w:r/>
          </w:p>
        </w:tc>
        <w:tc>
          <w:tcPr>
            <w:tcW w:w="6945" w:type="dxa"/>
            <w:vAlign w:val="top"/>
            <w:textDirection w:val="lrTb"/>
            <w:noWrap w:val="false"/>
          </w:tcPr>
          <w:p>
            <w:pPr>
              <w:rPr>
                <w:color w:val="auto"/>
                <w:highlight w:val="none"/>
              </w:rPr>
            </w:pPr>
            <w:r>
              <w:rPr>
                <w:color w:val="auto"/>
                <w:highlight w:val="none"/>
              </w:rPr>
              <w:t xml:space="preserve">具备双站数据处理能力，能够显示双站RCS测试及处理数据；</w:t>
            </w:r>
            <w:r/>
          </w:p>
        </w:tc>
      </w:tr>
      <w:tr>
        <w:trPr>
          <w:trHeight w:val="121"/>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tcW w:w="709" w:type="dxa"/>
            <w:vAlign w:val="top"/>
            <w:vMerge w:val="continue"/>
            <w:textDirection w:val="lrTb"/>
            <w:noWrap w:val="false"/>
          </w:tcPr>
          <w:p>
            <w:pPr>
              <w:jc w:val="center"/>
              <w:rPr>
                <w:rFonts w:hint="eastAsia"/>
                <w:color w:val="auto"/>
                <w:highlight w:val="none"/>
              </w:rPr>
            </w:pPr>
            <w:r>
              <w:rPr>
                <w:rFonts w:hint="eastAsia"/>
                <w:color w:val="auto"/>
                <w:highlight w:val="none"/>
              </w:rPr>
            </w:r>
            <w:r/>
          </w:p>
        </w:tc>
        <w:tc>
          <w:tcPr>
            <w:tcW w:w="709" w:type="dxa"/>
            <w:vAlign w:val="top"/>
            <w:textDirection w:val="lrTb"/>
            <w:noWrap w:val="false"/>
          </w:tcPr>
          <w:p>
            <w:pPr>
              <w:jc w:val="center"/>
              <w:rPr>
                <w:rFonts w:hint="eastAsia"/>
                <w:color w:val="auto"/>
                <w:highlight w:val="none"/>
              </w:rPr>
            </w:pPr>
            <w:r>
              <w:rPr>
                <w:color w:val="auto"/>
                <w:highlight w:val="none"/>
              </w:rPr>
              <w:t xml:space="preserve">8.2.</w:t>
            </w:r>
            <w:r>
              <w:rPr>
                <w:rFonts w:hint="eastAsia"/>
                <w:color w:val="auto"/>
                <w:highlight w:val="none"/>
              </w:rPr>
              <w:t xml:space="preserve">9</w:t>
            </w:r>
            <w:r/>
          </w:p>
        </w:tc>
        <w:tc>
          <w:tcPr>
            <w:tcW w:w="6945" w:type="dxa"/>
            <w:vAlign w:val="top"/>
            <w:textDirection w:val="lrTb"/>
            <w:noWrap w:val="false"/>
          </w:tcPr>
          <w:p>
            <w:pPr>
              <w:rPr>
                <w:rFonts w:hint="eastAsia"/>
                <w:color w:val="auto"/>
                <w:highlight w:val="none"/>
              </w:rPr>
            </w:pPr>
            <w:r>
              <w:rPr>
                <w:color w:val="auto"/>
                <w:highlight w:val="none"/>
              </w:rPr>
              <w:t xml:space="preserve">具备根据测试需求控制转台转动及双站测试子系统运行能力</w:t>
            </w:r>
            <w:r>
              <w:rPr>
                <w:rFonts w:hint="eastAsia"/>
                <w:color w:val="auto"/>
                <w:highlight w:val="none"/>
              </w:rPr>
              <w:t xml:space="preserve">；</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8.3</w:t>
            </w:r>
            <w:r/>
          </w:p>
        </w:tc>
        <w:tc>
          <w:tcPr>
            <w:tcW w:w="6945" w:type="dxa"/>
            <w:vAlign w:val="top"/>
            <w:textDirection w:val="lrTb"/>
            <w:noWrap w:val="false"/>
          </w:tcPr>
          <w:p>
            <w:pPr>
              <w:rPr>
                <w:color w:val="auto"/>
                <w:highlight w:val="none"/>
              </w:rPr>
            </w:pPr>
            <w:r>
              <w:rPr>
                <w:rFonts w:hint="eastAsia"/>
                <w:color w:val="auto"/>
                <w:highlight w:val="none"/>
              </w:rPr>
              <w:t xml:space="preserve">测试系统应具有功能可扩展性，方便软件和硬件升级，可升级跟踪及探测性能测试、抗干扰能力测试、天线测试频率至110GHz等；</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8.4</w:t>
            </w:r>
            <w:r/>
          </w:p>
        </w:tc>
        <w:tc>
          <w:tcPr>
            <w:tcW w:w="6945" w:type="dxa"/>
            <w:vAlign w:val="top"/>
            <w:textDirection w:val="lrTb"/>
            <w:noWrap w:val="false"/>
          </w:tcPr>
          <w:p>
            <w:pPr>
              <w:rPr>
                <w:rFonts w:hint="eastAsia"/>
                <w:color w:val="auto"/>
                <w:highlight w:val="none"/>
              </w:rPr>
            </w:pPr>
            <w:r>
              <w:rPr>
                <w:rFonts w:hint="eastAsia"/>
                <w:color w:val="auto"/>
                <w:highlight w:val="none"/>
              </w:rPr>
              <w:t xml:space="preserve">投标方提供的软件需要提供源代码，包括但不限于近远场转换算法、RCS成像算法等</w:t>
            </w:r>
            <w:r>
              <w:rPr>
                <w:rFonts w:hint="eastAsia"/>
                <w:color w:val="auto"/>
                <w:highlight w:val="none"/>
                <w:lang w:eastAsia="zh-CN"/>
              </w:rPr>
              <w:t xml:space="preserve">采购人</w:t>
            </w:r>
            <w:r>
              <w:rPr>
                <w:rFonts w:hint="eastAsia"/>
                <w:color w:val="auto"/>
                <w:highlight w:val="none"/>
              </w:rPr>
              <w:t xml:space="preserve">要求的软件算法；</w:t>
            </w:r>
            <w:r/>
          </w:p>
        </w:tc>
      </w:tr>
      <w:tr>
        <w:trPr/>
        <w:tc>
          <w:tcPr>
            <w:tcW w:w="1447" w:type="dxa"/>
            <w:vAlign w:val="top"/>
            <w:vMerge w:val="restart"/>
            <w:textDirection w:val="lrTb"/>
            <w:noWrap w:val="false"/>
          </w:tcPr>
          <w:p>
            <w:pPr>
              <w:rPr>
                <w:color w:val="auto"/>
                <w:highlight w:val="none"/>
              </w:rPr>
            </w:pPr>
            <w:r>
              <w:rPr>
                <w:rFonts w:hint="eastAsia"/>
                <w:color w:val="auto"/>
                <w:highlight w:val="none"/>
              </w:rPr>
              <w:t xml:space="preserve">9.系统附件</w:t>
            </w:r>
            <w:r/>
          </w:p>
          <w:p>
            <w:pPr>
              <w:pStyle w:val="947"/>
              <w:ind w:firstLine="0"/>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9</w:t>
            </w:r>
            <w:r>
              <w:rPr>
                <w:color w:val="auto"/>
                <w:highlight w:val="none"/>
              </w:rPr>
              <w:t xml:space="preserve">.1</w:t>
            </w:r>
            <w:r/>
          </w:p>
        </w:tc>
        <w:tc>
          <w:tcPr>
            <w:tcW w:w="6945" w:type="dxa"/>
            <w:vAlign w:val="top"/>
            <w:textDirection w:val="lrTb"/>
            <w:noWrap w:val="false"/>
          </w:tcPr>
          <w:p>
            <w:pPr>
              <w:rPr>
                <w:rFonts w:hint="eastAsia"/>
                <w:color w:val="auto"/>
                <w:highlight w:val="none"/>
              </w:rPr>
            </w:pPr>
            <w:r>
              <w:rPr>
                <w:color w:val="auto"/>
                <w:highlight w:val="none"/>
              </w:rPr>
              <w:t xml:space="preserve">配套系统集成所需附件，包括机柜、射频连接器</w:t>
            </w:r>
            <w:r>
              <w:rPr>
                <w:rFonts w:hint="eastAsia"/>
                <w:color w:val="auto"/>
                <w:highlight w:val="none"/>
              </w:rPr>
              <w:t xml:space="preserve">2套</w:t>
            </w:r>
            <w:r>
              <w:rPr>
                <w:color w:val="auto"/>
                <w:highlight w:val="none"/>
              </w:rPr>
              <w:t xml:space="preserve">、射频电缆</w:t>
            </w:r>
            <w:r>
              <w:rPr>
                <w:rFonts w:hint="eastAsia"/>
                <w:color w:val="auto"/>
                <w:highlight w:val="none"/>
              </w:rPr>
              <w:t xml:space="preserve">2套</w:t>
            </w:r>
            <w:r>
              <w:rPr>
                <w:color w:val="auto"/>
                <w:highlight w:val="none"/>
              </w:rPr>
              <w:t xml:space="preserve">、激光十字光标</w:t>
            </w:r>
            <w:r>
              <w:rPr>
                <w:rFonts w:hint="eastAsia"/>
                <w:color w:val="auto"/>
                <w:highlight w:val="none"/>
              </w:rPr>
              <w:t xml:space="preserve">等；</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9.2</w:t>
            </w:r>
            <w:r/>
          </w:p>
        </w:tc>
        <w:tc>
          <w:tcPr>
            <w:tcW w:w="6945" w:type="dxa"/>
            <w:vAlign w:val="top"/>
            <w:textDirection w:val="lrTb"/>
            <w:noWrap w:val="false"/>
          </w:tcPr>
          <w:p>
            <w:pPr>
              <w:rPr>
                <w:color w:val="auto"/>
                <w:highlight w:val="none"/>
              </w:rPr>
            </w:pPr>
            <w:r>
              <w:rPr>
                <w:color w:val="auto"/>
                <w:highlight w:val="none"/>
              </w:rPr>
              <w:t xml:space="preserve">计算机</w:t>
            </w:r>
            <w:r>
              <w:rPr>
                <w:rFonts w:hint="eastAsia"/>
                <w:color w:val="auto"/>
                <w:highlight w:val="none"/>
              </w:rPr>
              <w:t xml:space="preserve">：</w:t>
            </w:r>
            <w:r>
              <w:rPr>
                <w:color w:val="auto"/>
                <w:highlight w:val="none"/>
              </w:rPr>
              <w:t xml:space="preserve">操作系统不低于Window10，64位系统；内存≥32G；硬盘</w:t>
            </w:r>
            <w:r>
              <w:rPr>
                <w:rFonts w:hint="eastAsia"/>
                <w:color w:val="auto"/>
                <w:highlight w:val="none"/>
              </w:rPr>
              <w:t xml:space="preserve">≥</w:t>
            </w:r>
            <w:r>
              <w:rPr>
                <w:color w:val="auto"/>
                <w:highlight w:val="none"/>
              </w:rPr>
              <w:t xml:space="preserve">1T SSD；显示器尺寸≥27寸；数量2</w:t>
            </w:r>
            <w:r>
              <w:rPr>
                <w:rFonts w:hint="eastAsia"/>
                <w:color w:val="auto"/>
                <w:highlight w:val="none"/>
              </w:rPr>
              <w:t xml:space="preserve">套；配置彩色打印机1台。</w:t>
            </w:r>
            <w:r/>
          </w:p>
        </w:tc>
      </w:tr>
      <w:tr>
        <w:trPr/>
        <w:tc>
          <w:tcPr>
            <w:tcW w:w="1447" w:type="dxa"/>
            <w:vAlign w:val="top"/>
            <w:vMerge w:val="continue"/>
            <w:textDirection w:val="lrTb"/>
            <w:noWrap w:val="false"/>
          </w:tcPr>
          <w:p>
            <w:pPr>
              <w:rPr>
                <w:rFonts w:hint="eastAsia"/>
                <w:color w:val="auto"/>
                <w:highlight w:val="none"/>
              </w:rPr>
            </w:pPr>
            <w:r>
              <w:rPr>
                <w:rFonts w:hint="eastAsia"/>
                <w:color w:val="auto"/>
                <w:highlight w:val="none"/>
              </w:rPr>
            </w:r>
            <w:r/>
          </w:p>
        </w:tc>
        <w:tc>
          <w:tcPr>
            <w:gridSpan w:val="2"/>
            <w:tcW w:w="1418" w:type="dxa"/>
            <w:vAlign w:val="top"/>
            <w:textDirection w:val="lrTb"/>
            <w:noWrap w:val="false"/>
          </w:tcPr>
          <w:p>
            <w:pPr>
              <w:jc w:val="center"/>
              <w:rPr>
                <w:rFonts w:hint="eastAsia"/>
                <w:color w:val="auto"/>
                <w:highlight w:val="none"/>
              </w:rPr>
            </w:pPr>
            <w:r>
              <w:rPr>
                <w:rFonts w:hint="eastAsia"/>
                <w:color w:val="auto"/>
                <w:highlight w:val="none"/>
              </w:rPr>
              <w:t xml:space="preserve">9.3</w:t>
            </w:r>
            <w:r/>
          </w:p>
        </w:tc>
        <w:tc>
          <w:tcPr>
            <w:tcW w:w="6945" w:type="dxa"/>
            <w:vAlign w:val="top"/>
            <w:textDirection w:val="lrTb"/>
            <w:noWrap w:val="false"/>
          </w:tcPr>
          <w:p>
            <w:pPr>
              <w:rPr>
                <w:rFonts w:hint="eastAsia"/>
                <w:color w:val="auto"/>
                <w:highlight w:val="none"/>
              </w:rPr>
            </w:pPr>
            <w:r>
              <w:rPr>
                <w:rFonts w:hint="eastAsia"/>
                <w:color w:val="auto"/>
                <w:highlight w:val="none"/>
              </w:rPr>
              <w:t xml:space="preserve">配置工具箱，工具箱中至少包括有射频专用扳手1只、精密螺丝刀1套、偏口钳1个、内六角扳手一套、一字/十字螺丝刀一个、头戴式照明灯一个。</w:t>
            </w:r>
            <w:r/>
          </w:p>
        </w:tc>
      </w:tr>
    </w:tbl>
    <w:p>
      <w:pPr>
        <w:pStyle w:val="947"/>
        <w:rPr>
          <w:rFonts w:hint="eastAsia"/>
          <w:color w:val="auto"/>
          <w:highlight w:val="none"/>
        </w:rPr>
      </w:pPr>
      <w:r>
        <w:rPr>
          <w:rFonts w:hint="eastAsia"/>
          <w:color w:val="auto"/>
          <w:highlight w:val="none"/>
        </w:rPr>
      </w:r>
      <w:r/>
    </w:p>
    <w:p>
      <w:pPr>
        <w:ind w:firstLine="480"/>
        <w:spacing w:line="264" w:lineRule="auto"/>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认为需要的其他费用等。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2.知识产权要求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所交付的货物、成果的所有权利，包括但不限于所有源代码及开发文档、所有知识产权等均归</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所有。</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有权对源代码进行研究、修改，以及优化后进行商业用途。</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应该积极配合</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开展专利申请、软件著作权登记等工作，提供所需资料。</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保证所交付的成果（包含相应服务）不侵犯任何第三方的专利权、著作权、商标专用权、商业秘密及其他权属权利，并可根据</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需求提供相关的知识产权官方文件。因本合同下的软件及文档而产生的知识产权法律纠纷由</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负责承担全部责任，且</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有权解除合同，</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应向</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支付合同总价款的20%作为违约金并承担造成</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的一切损失（包括但不限于对第三方权利人的赔偿、对</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客户的赔偿、继续使用的费用、</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因此产生的律师费、诉讼费用等）。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3.实施要求</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投标人应能够提供全面系统的解决方案，所推荐设备应拥有完整可靠的技术支持，以保证</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目前及未来投资的合理有效性。</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投标人必须按规定要求提供投标货物的详细、完整的技术资料，以方便评标。投标文件所有条款必须真实，评标委员会有权拒绝不真实的任何投标文件。</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投标人必须提供的所有技术文件、资料、图样都应使用中文或中英文对照，字迹清楚、内容完整，采用国家标准、ISO标准或相应的国际标准化组织标准规定的通用图形和符号。</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投标人在投标时应提供完整的货物设计、制造、安装、调试、验收的有关标准、技术规范。</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有义务保护投标人的知识产权，对提供的以上技术文件资料负责保密。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投标人在投标时应提供完整的产品主要技术文件，其中包括产品的主要性能、技术参数、适用范围以及系统说明等。</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报价中必须列出所有部件的名称及型号、数量、规格等；技术方案中必须有整体规划和设计，需明确注明售后服务、保修期、现场安装、工程进度等。</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投标人应按照使用方的场地大小及要求进行各测试系统、暗室等的布局安排。</w:t>
      </w:r>
      <w:r/>
    </w:p>
    <w:p>
      <w:pPr>
        <w:ind w:firstLine="480"/>
        <w:spacing w:line="264" w:lineRule="auto"/>
        <w:rPr>
          <w:rFonts w:ascii="宋体" w:hAnsi="宋体" w:cs="宋体"/>
          <w:color w:val="auto"/>
          <w:sz w:val="24"/>
          <w:szCs w:val="24"/>
          <w:highlight w:val="none"/>
        </w:rPr>
      </w:pPr>
      <w:r>
        <w:rPr>
          <w:rFonts w:hint="eastAsia" w:cs="宋体"/>
          <w:color w:val="auto"/>
          <w:sz w:val="24"/>
          <w:szCs w:val="24"/>
          <w:highlight w:val="none"/>
        </w:rPr>
        <w:t xml:space="preserve">8</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投标人应详细说明安装、调试、软硬件集成计划，列明建设和试运行的时间计划，提</w:t>
      </w:r>
      <w:r>
        <w:rPr>
          <w:rFonts w:hint="eastAsia" w:ascii="宋体" w:hAnsi="宋体" w:cs="宋体"/>
          <w:color w:val="auto"/>
          <w:sz w:val="24"/>
          <w:szCs w:val="24"/>
          <w:highlight w:val="none"/>
        </w:rPr>
        <w:t xml:space="preserve">供详细的实施方案，并说明拟派安装人员团队、项目经理的经验能力情况，以方便评标。</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本项目的RCS双站远场条件测试和通感一体化测试进行详细论述，该两点对技术要求较高，因此要求投标人对本部分进行充分论述，包括但不限于详细技术实施方法，动画展示，仿真数据等，根据上述论述内容以方便评标。</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质量要求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投标人所投设备的制造标准、安装标准及技术规范等有关资料必须符合国家规定的有关标准、规范要求或国际规定的有关标准、规范要求。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投标人能长期提供良好的技术及备品备件的优惠供应。投标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必须是在中华人民共和国境内注册的法人或其他组织，能够独立承担民事责任，并拥有售后服务机构，要有专业人员服务，提供终身维修保养服务。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本项目采购内容均要求为“本国产品”。根据《政府采购法》的规定，本国产品是指在中国境内生产，且国内生产成本比例超过一定标准的货物。投标人投标产品必须为本国产品，不接受任何进口产品（即通过中国海关报关验放进入中国境内的产品）。</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投标人应承诺</w:t>
      </w:r>
      <w:r>
        <w:rPr>
          <w:rFonts w:hint="eastAsia" w:ascii="宋体" w:hAnsi="宋体" w:cs="宋体"/>
          <w:color w:val="auto"/>
          <w:sz w:val="24"/>
          <w:szCs w:val="24"/>
          <w:highlight w:val="none"/>
          <w:lang w:val="en-US" w:eastAsia="zh-CN"/>
        </w:rPr>
        <w:t xml:space="preserve">签订合同时</w:t>
      </w:r>
      <w:r>
        <w:rPr>
          <w:rFonts w:hint="eastAsia" w:ascii="宋体" w:hAnsi="宋体" w:cs="宋体"/>
          <w:color w:val="auto"/>
          <w:sz w:val="24"/>
          <w:szCs w:val="24"/>
          <w:highlight w:val="none"/>
        </w:rPr>
        <w:t xml:space="preserve">提供设备制造厂商的出厂检验报告、合格证书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测试系统按约定安装调试完成后，需向</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提供标准化操作手册并进行专项培训，试运行期间仪器设备出现任何故障或整体运行不畅，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须积极响应，并在计划时间内妥善解决，稳定试运行1个月后启动最终验收。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所有设备的技术参数在验收时须逐条与合同匹配验证，现场通过专门测试夹具或校准夹具测得满足标准要求波形或参数。</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负责按合同文件要求和国家标准对所有设备进行验收，验收程序和要求：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货物运达后的查验：货物运达后由甲、乙双方组织人员对货物的品名、外观、型号、规格、配置、数量开箱清点查验，出具开箱查验记录。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初步验收：在现场安装、调试和第三方测试完成，实现联机运行1个月后，经</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确认，由</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双方组织人员按合同要求对设备进行初步验收，出具初步验收报告。初步验收具体包括：</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核对开箱查验记录记载的货物的品名、型号、规格、数量，包括可选配置和附件。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核对合同规定的文件和技术资料，包括：产品合格证、出厂检验或测试报告、原厂商保修证明（承诺）以及使用（操作）手册，校准、维修手册，安装图表等。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对关键技术指标和功能进行测试、查验，出具测试和查验记录。具体测试技术指标和验证功能由</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决定。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试运行期：初步验收通过后进入系统试运行期，试运行期1个月。</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最终验收：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w:t>
      </w:r>
      <w:r>
        <w:rPr>
          <w:rFonts w:hint="eastAsia" w:ascii="宋体" w:hAnsi="宋体" w:eastAsia="宋体" w:cs="宋体"/>
          <w:color w:val="auto"/>
          <w:sz w:val="24"/>
          <w:szCs w:val="24"/>
          <w:highlight w:val="none"/>
        </w:rPr>
        <w:t xml:space="preserve">试运行期满，所有性能指标、功能达到</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的要求</w:t>
      </w:r>
      <w:r>
        <w:rPr>
          <w:rFonts w:hint="eastAsia" w:ascii="宋体" w:hAnsi="宋体" w:cs="宋体"/>
          <w:color w:val="auto"/>
          <w:sz w:val="24"/>
          <w:szCs w:val="24"/>
          <w:highlight w:val="none"/>
        </w:rPr>
        <w:t xml:space="preserve">时，由</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向</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申请，方可进行最终验收。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b. </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应在收到投标人最终验收申请之日起30日内组织验收。验收提交的文件资料至少应包括：招标文件、</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投标文件、合同书、符合合同规定的证书、设备检验或测试报告以及开箱查验记录、初步验收报告。项目最终验收合格后，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正式交付</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投入使用。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交付提供第三方检测要求：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提供暗室屏蔽性能第三方检测报告；</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b. 提供紧缩场静区性能第三方检测报告；</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c．提供转台、导轨性能第三方检测报告；</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d．提供标准天线第三方检测报告；</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具体验收形式以</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为准。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本系统自最终验收合格之日起，所有设备和零部件质保三年。</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需在质保期内对测试系统的建设、验收和使用给予无偿且及时的技术支持，提供优良的售后服务（费用包含在本次报价中）。</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承诺自设备验收合格之日起，设备维修所需零部件及配件，应维持不低于10年的供应，负责质保期外有偿维修。在质保期内，如零部件损坏，</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质保期内无偿更换，质保期外提供优质维修服务，</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仅收取零件费或材料费。</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须在接到报修信息30分钟内予以响应，48小时内到达用户现场进行维修服务，3个工作日内排除故障或提供排除故障期间使用的、能满足测试要求的代替测试设备。因</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造成的设备停工时间应在质保期中予以相应延长。</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若</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对测试系统有升级改造需求，</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有义务积极配合升级。</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需对</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的测试系统提供累计不少于15个工作日的免费现场技术培训，具体培训计划由</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制定。</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须派不少于2名技术专家提供专业的培训，保证</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受训人员全部掌握培训内容，相关费用由</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承担。培训技术专家必须拥有紧缩场暗室行业15年以上的从业经验，全面掌握紧缩场暗室测试、仪器设备操作、测试流程的知识。培训内容包括主要设备的技术原理、安全防护、校准、标准解析、测试、操作、基本维护、故障排除等，培训讲师由经验丰富的技术工程师承担，并提供后续的技术指导。</w:t>
      </w:r>
      <w:r/>
    </w:p>
    <w:p>
      <w:pPr>
        <w:ind w:firstLine="480"/>
        <w:spacing w:line="264"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付款条件</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交付时间及地点</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rPr>
        <w:t xml:space="preserve">确定中标后</w:t>
      </w:r>
      <w:r>
        <w:rPr>
          <w:rFonts w:hint="eastAsia" w:ascii="宋体" w:hAnsi="宋体" w:cs="宋体"/>
          <w:bCs/>
          <w:color w:val="auto"/>
          <w:sz w:val="24"/>
          <w:szCs w:val="24"/>
          <w:highlight w:val="none"/>
        </w:rPr>
        <w:t xml:space="preserve">100</w:t>
      </w:r>
      <w:r>
        <w:rPr>
          <w:rFonts w:ascii="宋体" w:hAnsi="宋体" w:cs="宋体"/>
          <w:color w:val="auto"/>
          <w:sz w:val="24"/>
          <w:szCs w:val="24"/>
          <w:highlight w:val="none"/>
        </w:rPr>
        <w:t xml:space="preserve">天内交付</w:t>
      </w:r>
      <w:r>
        <w:rPr>
          <w:rFonts w:hint="eastAsia" w:ascii="宋体" w:hAnsi="宋体" w:cs="宋体"/>
          <w:color w:val="auto"/>
          <w:sz w:val="24"/>
          <w:szCs w:val="24"/>
          <w:highlight w:val="none"/>
        </w:rPr>
        <w:t xml:space="preserve">全部硬件，150天</w:t>
      </w:r>
      <w:r>
        <w:rPr>
          <w:rFonts w:ascii="宋体" w:hAnsi="宋体" w:cs="宋体"/>
          <w:color w:val="auto"/>
          <w:sz w:val="24"/>
          <w:szCs w:val="24"/>
          <w:highlight w:val="none"/>
        </w:rPr>
        <w:t xml:space="preserve">完成</w:t>
      </w:r>
      <w:r>
        <w:rPr>
          <w:rFonts w:hint="eastAsia" w:ascii="宋体" w:hAnsi="宋体" w:cs="宋体"/>
          <w:color w:val="auto"/>
          <w:sz w:val="24"/>
          <w:szCs w:val="24"/>
          <w:highlight w:val="none"/>
        </w:rPr>
        <w:t xml:space="preserve">整体系统的</w:t>
      </w:r>
      <w:r>
        <w:rPr>
          <w:rFonts w:ascii="宋体" w:hAnsi="宋体" w:cs="宋体"/>
          <w:color w:val="auto"/>
          <w:sz w:val="24"/>
          <w:szCs w:val="24"/>
          <w:highlight w:val="none"/>
        </w:rPr>
        <w:t xml:space="preserve">安装调试等相关工作</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6.履约保证金</w:t>
      </w:r>
      <w:r/>
    </w:p>
    <w:p>
      <w:pPr>
        <w:ind w:firstLine="480"/>
        <w:spacing w:line="264" w:lineRule="auto"/>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7.违约责任</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以第三章合同文本内容为准。</w:t>
      </w:r>
      <w:r/>
    </w:p>
    <w:p>
      <w:pPr>
        <w:ind w:firstLine="480"/>
        <w:spacing w:line="264"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8.其他要求</w:t>
      </w:r>
      <w:r/>
    </w:p>
    <w:p>
      <w:pPr>
        <w:ind w:firstLine="480"/>
        <w:spacing w:line="264"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招标文件中要求提供证明材料的，投标人签订合同时应按招标文件要求和投标文件响应内容向采购人提供相应证明材料原件核验。投标人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p>
    <w:p>
      <w:pPr>
        <w:ind w:firstLine="480"/>
        <w:spacing w:line="264"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（三）</w:t>
      </w:r>
      <w:r>
        <w:rPr>
          <w:rFonts w:hint="eastAsia" w:ascii="宋体" w:hAnsi="宋体" w:cs="宋体"/>
          <w:color w:val="auto"/>
          <w:sz w:val="24"/>
          <w:szCs w:val="24"/>
          <w:highlight w:val="none"/>
        </w:rPr>
        <w:t xml:space="preserve">演示要求</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1.视频文件的格式为*.mp4或*.avi，</w:t>
      </w:r>
      <w:bookmarkStart w:id="204" w:name="OLE_LINK23"/>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须</w:t>
      </w:r>
      <w:bookmarkEnd w:id="204"/>
      <w:r>
        <w:rPr>
          <w:rFonts w:hint="eastAsia" w:ascii="宋体" w:hAnsi="宋体" w:cs="宋体"/>
          <w:color w:val="auto"/>
          <w:sz w:val="24"/>
          <w:szCs w:val="24"/>
          <w:highlight w:val="none"/>
        </w:rPr>
        <w:t xml:space="preserve">将视频文件压缩为*.zip文件上传（单个文件不得大于50M，所有文件合计不得大于300M）。文件上传方</w:t>
      </w:r>
      <w:bookmarkStart w:id="205" w:name="OLE_LINK19"/>
      <w:r>
        <w:rPr>
          <w:rFonts w:hint="eastAsia" w:ascii="宋体" w:hAnsi="宋体" w:cs="宋体"/>
          <w:color w:val="auto"/>
          <w:sz w:val="24"/>
          <w:szCs w:val="24"/>
          <w:highlight w:val="none"/>
        </w:rPr>
        <w:t xml:space="preserve">式见《操作手册》</w:t>
      </w:r>
      <w:bookmarkEnd w:id="205"/>
      <w:r>
        <w:rPr>
          <w:rFonts w:hint="eastAsia" w:ascii="宋体" w:hAnsi="宋体" w:cs="宋体"/>
          <w:color w:val="auto"/>
          <w:sz w:val="24"/>
          <w:szCs w:val="24"/>
          <w:highlight w:val="none"/>
        </w:rPr>
        <w:t xml:space="preserve">。</w:t>
      </w:r>
      <w:r/>
    </w:p>
    <w:p>
      <w:pPr>
        <w:ind w:firstLine="480"/>
        <w:spacing w:line="288"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bookmarkStart w:id="206" w:name="OLE_LINK22"/>
      <w:r/>
      <w:bookmarkStart w:id="207" w:name="OLE_LINK24"/>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须上传</w:t>
      </w:r>
      <w:bookmarkEnd w:id="206"/>
      <w:r>
        <w:rPr>
          <w:rFonts w:hint="eastAsia" w:ascii="宋体" w:hAnsi="宋体" w:cs="宋体"/>
          <w:color w:val="auto"/>
          <w:sz w:val="24"/>
          <w:szCs w:val="24"/>
          <w:highlight w:val="none"/>
        </w:rPr>
        <w:t xml:space="preserve">“</w:t>
      </w:r>
      <w:bookmarkEnd w:id="207"/>
      <w:r/>
      <w:bookmarkStart w:id="208" w:name="OLE_LINK25"/>
      <w:r>
        <w:rPr>
          <w:rFonts w:hint="eastAsia" w:ascii="宋体" w:hAnsi="宋体" w:cs="宋体"/>
          <w:color w:val="auto"/>
          <w:sz w:val="24"/>
          <w:szCs w:val="24"/>
          <w:highlight w:val="none"/>
        </w:rPr>
        <w:t xml:space="preserve">双站紧缩场测试”和“</w:t>
      </w:r>
      <w:bookmarkEnd w:id="208"/>
      <w:r>
        <w:rPr>
          <w:rFonts w:hint="eastAsia" w:ascii="宋体" w:hAnsi="宋体" w:cs="宋体"/>
          <w:color w:val="auto"/>
          <w:sz w:val="24"/>
          <w:szCs w:val="24"/>
          <w:highlight w:val="none"/>
        </w:rPr>
        <w:t xml:space="preserve">通感一体化测试”共两</w:t>
      </w:r>
      <w:r>
        <w:rPr>
          <w:rFonts w:hint="eastAsia" w:ascii="宋体" w:hAnsi="宋体" w:cs="宋体"/>
          <w:color w:val="auto"/>
          <w:sz w:val="24"/>
          <w:szCs w:val="24"/>
          <w:highlight w:val="none"/>
          <w:lang w:val="en-US" w:eastAsia="zh-CN"/>
        </w:rPr>
        <w:t xml:space="preserve">项评审内容的</w:t>
      </w:r>
      <w:r>
        <w:rPr>
          <w:rFonts w:hint="eastAsia" w:ascii="宋体" w:hAnsi="宋体" w:cs="宋体"/>
          <w:color w:val="auto"/>
          <w:sz w:val="24"/>
          <w:szCs w:val="24"/>
          <w:highlight w:val="none"/>
        </w:rPr>
        <w:t xml:space="preserve">演示视频，每</w:t>
      </w:r>
      <w:r>
        <w:rPr>
          <w:rFonts w:hint="eastAsia" w:ascii="宋体" w:hAnsi="宋体" w:cs="宋体"/>
          <w:color w:val="auto"/>
          <w:sz w:val="24"/>
          <w:szCs w:val="24"/>
          <w:highlight w:val="none"/>
          <w:lang w:val="en-US" w:eastAsia="zh-CN"/>
        </w:rPr>
        <w:t xml:space="preserve">项</w:t>
      </w:r>
      <w:r>
        <w:rPr>
          <w:rFonts w:hint="eastAsia" w:ascii="宋体" w:hAnsi="宋体" w:cs="宋体"/>
          <w:color w:val="auto"/>
          <w:sz w:val="24"/>
          <w:szCs w:val="24"/>
          <w:highlight w:val="none"/>
        </w:rPr>
        <w:t xml:space="preserve">视频</w:t>
      </w:r>
      <w:r>
        <w:rPr>
          <w:rFonts w:hint="eastAsia" w:ascii="宋体" w:hAnsi="宋体" w:cs="宋体"/>
          <w:color w:val="auto"/>
          <w:sz w:val="24"/>
          <w:szCs w:val="24"/>
          <w:highlight w:val="none"/>
          <w:lang w:val="en-US" w:eastAsia="zh-CN"/>
        </w:rPr>
        <w:t xml:space="preserve">总</w:t>
      </w:r>
      <w:r>
        <w:rPr>
          <w:rFonts w:hint="eastAsia" w:ascii="宋体" w:hAnsi="宋体" w:cs="宋体"/>
          <w:color w:val="auto"/>
          <w:sz w:val="24"/>
          <w:szCs w:val="24"/>
          <w:highlight w:val="none"/>
        </w:rPr>
        <w:t xml:space="preserve">时长不超过10分钟。演示视频将作为投标文件的组成部分，具体</w:t>
      </w:r>
      <w:r>
        <w:rPr>
          <w:rFonts w:hint="eastAsia" w:ascii="宋体" w:hAnsi="宋体"/>
          <w:color w:val="auto"/>
          <w:sz w:val="24"/>
          <w:szCs w:val="24"/>
          <w:highlight w:val="none"/>
        </w:rPr>
        <w:t xml:space="preserve">演示内容详见“第五章  评标方法与评标标准”。</w:t>
      </w:r>
      <w:r/>
    </w:p>
    <w:p>
      <w:pPr>
        <w:pStyle w:val="955"/>
        <w:rPr>
          <w:rFonts w:hint="eastAsia"/>
          <w:color w:val="auto"/>
          <w:highlight w:val="none"/>
        </w:rPr>
      </w:pPr>
      <w:r>
        <w:rPr>
          <w:rFonts w:hint="eastAsia"/>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209" w:name="_Toc120614281"/>
      <w:r>
        <w:rPr>
          <w:rFonts w:hint="eastAsia" w:ascii="黑体" w:hAnsi="方正小标宋简体" w:eastAsia="黑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1.采用综合评分法，评标结果按评审后得分由高到低顺序排列。得分相同的，按投标报价由低到高顺序排列。得分且投标报价相同的，按“评标标准中</w:t>
      </w:r>
      <w:r>
        <w:rPr>
          <w:rFonts w:hint="eastAsia" w:ascii="宋体" w:hAnsi="宋体"/>
          <w:color w:val="auto"/>
          <w:sz w:val="24"/>
          <w:szCs w:val="24"/>
          <w:highlight w:val="none"/>
        </w:rPr>
        <w:t xml:space="preserve">2.2,2.3,3.1,3.2项</w:t>
      </w:r>
      <w:r>
        <w:rPr>
          <w:rFonts w:hint="eastAsia" w:ascii="宋体" w:hAnsi="宋体" w:cs="宋体"/>
          <w:color w:val="auto"/>
          <w:sz w:val="24"/>
          <w:szCs w:val="24"/>
          <w:highlight w:val="none"/>
        </w:rPr>
        <w:t xml:space="preserve">”</w:t>
      </w:r>
      <w:r>
        <w:rPr>
          <w:rFonts w:hint="eastAsia"/>
          <w:color w:val="auto"/>
          <w:highlight w:val="none"/>
          <w:lang w:val="en-US" w:eastAsia="zh-CN"/>
        </w:rPr>
        <w:t xml:space="preserve">总分得分</w:t>
      </w:r>
      <w:r>
        <w:rPr>
          <w:rFonts w:hint="eastAsia" w:ascii="宋体" w:hAnsi="宋体" w:cs="宋体"/>
          <w:color w:val="auto"/>
          <w:sz w:val="24"/>
          <w:szCs w:val="24"/>
          <w:highlight w:val="none"/>
        </w:rPr>
        <w:t xml:space="preserve">由高到低顺序排列。在投标文件满足招标文件全部实质性要求的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中，按照评审得分由高到低推荐</w:t>
      </w:r>
      <w:r>
        <w:rPr>
          <w:rFonts w:hint="eastAsia" w:ascii="宋体" w:hAnsi="宋体"/>
          <w:color w:val="auto"/>
          <w:sz w:val="24"/>
          <w:szCs w:val="24"/>
          <w:highlight w:val="none"/>
        </w:rPr>
        <w:t xml:space="preserve">3名</w:t>
      </w:r>
      <w:r>
        <w:rPr>
          <w:rFonts w:hint="eastAsia" w:ascii="宋体" w:hAnsi="宋体" w:cs="宋体"/>
          <w:color w:val="auto"/>
          <w:sz w:val="24"/>
          <w:szCs w:val="24"/>
          <w:highlight w:val="none"/>
        </w:rPr>
        <w:t xml:space="preserve">中标候选人。</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二、小微企业价格扣除</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本项目全部货物制造商为小微企业的，</w:t>
      </w:r>
      <w:r>
        <w:rPr>
          <w:rFonts w:hint="eastAsia" w:ascii="宋体" w:hAnsi="宋体" w:cs="宋体"/>
          <w:color w:val="auto"/>
          <w:sz w:val="24"/>
          <w:szCs w:val="24"/>
          <w:highlight w:val="none"/>
        </w:rPr>
        <w:t xml:space="preserve">对报价给予</w:t>
      </w:r>
      <w:r>
        <w:rPr>
          <w:rFonts w:hint="eastAsia" w:ascii="宋体" w:hAnsi="宋体" w:cs="宋体"/>
          <w:color w:val="auto"/>
          <w:sz w:val="24"/>
          <w:szCs w:val="24"/>
          <w:highlight w:val="none"/>
          <w:lang w:val="zh-CN"/>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hint="eastAsia"/>
          <w:color w:val="auto"/>
          <w:highlight w:val="none"/>
        </w:rPr>
      </w:pPr>
      <w:r>
        <w:rPr>
          <w:rFonts w:hint="eastAsia" w:ascii="黑体" w:hAnsi="黑体" w:eastAsia="黑体" w:cs="黑体"/>
          <w:color w:val="auto"/>
          <w:sz w:val="24"/>
          <w:szCs w:val="24"/>
          <w:highlight w:val="none"/>
        </w:rPr>
        <w:t xml:space="preserve">三、评标标准</w:t>
      </w:r>
      <w:r/>
    </w:p>
    <w:tbl>
      <w:tblPr>
        <w:tblStyle w:val="69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68" w:line="264" w:lineRule="auto"/>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序号</w:t>
            </w:r>
            <w:r/>
          </w:p>
        </w:tc>
        <w:tc>
          <w:tcPr>
            <w:tcW w:w="1179" w:type="dxa"/>
            <w:vAlign w:val="center"/>
            <w:textDirection w:val="lrTb"/>
            <w:noWrap w:val="false"/>
          </w:tcPr>
          <w:p>
            <w:pPr>
              <w:jc w:val="center"/>
              <w:spacing w:before="68" w:line="264" w:lineRule="auto"/>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评审因素</w:t>
            </w:r>
            <w:r/>
          </w:p>
        </w:tc>
        <w:tc>
          <w:tcPr>
            <w:tcW w:w="6330" w:type="dxa"/>
            <w:vAlign w:val="center"/>
            <w:textDirection w:val="lrTb"/>
            <w:noWrap w:val="false"/>
          </w:tcPr>
          <w:p>
            <w:pPr>
              <w:jc w:val="center"/>
              <w:spacing w:before="68" w:line="264" w:lineRule="auto"/>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评审细则</w:t>
            </w:r>
            <w:r/>
          </w:p>
        </w:tc>
        <w:tc>
          <w:tcPr>
            <w:tcW w:w="647" w:type="dxa"/>
            <w:vAlign w:val="center"/>
            <w:textDirection w:val="lrTb"/>
            <w:noWrap w:val="false"/>
          </w:tcPr>
          <w:p>
            <w:pPr>
              <w:jc w:val="center"/>
              <w:spacing w:before="68" w:line="264" w:lineRule="auto"/>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分值</w:t>
            </w:r>
            <w:r/>
          </w:p>
        </w:tc>
        <w:tc>
          <w:tcPr>
            <w:tcW w:w="900" w:type="dxa"/>
            <w:vAlign w:val="center"/>
            <w:textDirection w:val="lrTb"/>
            <w:noWrap w:val="false"/>
          </w:tcPr>
          <w:p>
            <w:pPr>
              <w:jc w:val="center"/>
              <w:spacing w:before="68" w:line="264" w:lineRule="auto"/>
              <w:rPr>
                <w:rFonts w:hint="eastAsia" w:ascii="宋体" w:hAnsi="宋体" w:cs="宋体"/>
                <w:b/>
                <w:bCs/>
                <w:color w:val="auto"/>
                <w:spacing w:val="-3"/>
                <w:highlight w:val="none"/>
              </w:rPr>
            </w:pPr>
            <w:r>
              <w:rPr>
                <w:rFonts w:hint="eastAsia" w:ascii="宋体" w:hAnsi="宋体" w:cs="宋体"/>
                <w:b/>
                <w:bCs/>
                <w:color w:val="auto"/>
                <w:spacing w:val="-3"/>
                <w:highlight w:val="none"/>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1.价</w:t>
            </w:r>
            <w:r>
              <w:rPr>
                <w:rFonts w:hint="eastAsia" w:ascii="宋体" w:hAnsi="宋体" w:cs="宋体"/>
                <w:b/>
                <w:bCs/>
                <w:color w:val="auto"/>
                <w:spacing w:val="-2"/>
                <w:highlight w:val="none"/>
              </w:rPr>
              <w:t xml:space="preserve">格</w:t>
            </w:r>
            <w:r/>
          </w:p>
        </w:tc>
      </w:tr>
      <w:tr>
        <w:trPr>
          <w:jc w:val="center"/>
          <w:trHeight w:val="1289"/>
        </w:trPr>
        <w:tc>
          <w:tcPr>
            <w:tcW w:w="519"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1</w:t>
            </w:r>
            <w:r>
              <w:rPr>
                <w:rFonts w:hint="eastAsia" w:ascii="宋体" w:hAnsi="宋体" w:cs="宋体"/>
                <w:color w:val="auto"/>
                <w:spacing w:val="-5"/>
                <w:highlight w:val="none"/>
              </w:rPr>
              <w:t xml:space="preserve">.1</w:t>
            </w:r>
            <w:r/>
          </w:p>
        </w:tc>
        <w:tc>
          <w:tcPr>
            <w:tcW w:w="1179" w:type="dxa"/>
            <w:vAlign w:val="center"/>
            <w:textDirection w:val="lrTb"/>
            <w:noWrap w:val="false"/>
          </w:tcPr>
          <w:p>
            <w:pPr>
              <w:jc w:val="left"/>
              <w:spacing w:before="68" w:line="264" w:lineRule="auto"/>
              <w:rPr>
                <w:rFonts w:hint="eastAsia" w:ascii="宋体" w:hAnsi="宋体" w:cs="宋体"/>
                <w:color w:val="auto"/>
                <w:highlight w:val="none"/>
              </w:rPr>
            </w:pPr>
            <w:r>
              <w:rPr>
                <w:rFonts w:hint="eastAsia" w:ascii="宋体" w:hAnsi="宋体" w:cs="宋体"/>
                <w:color w:val="auto"/>
                <w:spacing w:val="-2"/>
                <w:highlight w:val="none"/>
              </w:rPr>
              <w:t xml:space="preserve">价格分</w:t>
            </w:r>
            <w:r/>
          </w:p>
        </w:tc>
        <w:tc>
          <w:tcPr>
            <w:tcW w:w="6330" w:type="dxa"/>
            <w:vAlign w:val="center"/>
            <w:textDirection w:val="lrTb"/>
            <w:noWrap w:val="false"/>
          </w:tcPr>
          <w:p>
            <w:pPr>
              <w:pStyle w:val="905"/>
              <w:rPr>
                <w:rFonts w:hint="eastAsia"/>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式计算：投标报价得分=(评标基准价/投标报价)×价格分值（小数点保留两位）</w:t>
            </w:r>
            <w:r/>
          </w:p>
        </w:tc>
        <w:tc>
          <w:tcPr>
            <w:tcW w:w="647" w:type="dxa"/>
            <w:vAlign w:val="center"/>
            <w:textDirection w:val="lrTb"/>
            <w:noWrap w:val="false"/>
          </w:tcPr>
          <w:p>
            <w:pPr>
              <w:jc w:val="center"/>
              <w:spacing w:line="264" w:lineRule="auto"/>
              <w:rPr>
                <w:rFonts w:hint="eastAsia" w:ascii="宋体" w:hAnsi="宋体" w:cs="宋体"/>
                <w:color w:val="auto"/>
                <w:highlight w:val="none"/>
              </w:rPr>
            </w:pPr>
            <w:r>
              <w:rPr>
                <w:rFonts w:hint="eastAsia" w:ascii="宋体" w:hAnsi="宋体" w:cs="宋体"/>
                <w:color w:val="auto"/>
                <w:highlight w:val="none"/>
              </w:rPr>
              <w:t xml:space="preserve">30</w:t>
            </w:r>
            <w:r/>
          </w:p>
        </w:tc>
        <w:tc>
          <w:tcPr>
            <w:tcW w:w="900" w:type="dxa"/>
            <w:vAlign w:val="center"/>
            <w:textDirection w:val="lrTb"/>
            <w:noWrap w:val="false"/>
          </w:tcPr>
          <w:p>
            <w:pPr>
              <w:jc w:val="center"/>
              <w:spacing w:line="264" w:lineRule="auto"/>
              <w:rPr>
                <w:rFonts w:hint="eastAsia" w:ascii="宋体" w:hAnsi="宋体" w:cs="宋体"/>
                <w:color w:val="auto"/>
                <w:highlight w:val="none"/>
              </w:rPr>
            </w:pPr>
            <w:r>
              <w:rPr>
                <w:rFonts w:hint="eastAsia" w:ascii="宋体" w:hAnsi="宋体" w:cs="宋体"/>
                <w:color w:val="auto"/>
                <w:highlight w:val="none"/>
              </w:rPr>
              <w:t xml:space="preserve">价格分</w:t>
            </w:r>
            <w:r/>
          </w:p>
        </w:tc>
      </w:tr>
      <w:tr>
        <w:trPr>
          <w:jc w:val="center"/>
          <w:trHeight w:val="460"/>
        </w:trPr>
        <w:tc>
          <w:tcPr>
            <w:gridSpan w:val="5"/>
            <w:tcW w:w="9575" w:type="dxa"/>
            <w:vAlign w:val="top"/>
            <w:textDirection w:val="lrTb"/>
            <w:noWrap w:val="false"/>
          </w:tcPr>
          <w:p>
            <w:pPr>
              <w:ind w:left="114"/>
              <w:spacing w:before="123"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2.1</w:t>
            </w:r>
            <w:r/>
          </w:p>
        </w:tc>
        <w:tc>
          <w:tcPr>
            <w:tcW w:w="1179" w:type="dxa"/>
            <w:vAlign w:val="center"/>
            <w:textDirection w:val="lrTb"/>
            <w:noWrap w:val="false"/>
          </w:tcPr>
          <w:p>
            <w:pPr>
              <w:jc w:val="left"/>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产品技术参数</w:t>
            </w:r>
            <w:r/>
          </w:p>
        </w:tc>
        <w:tc>
          <w:tcPr>
            <w:tcW w:w="6330" w:type="dxa"/>
            <w:vAlign w:val="center"/>
            <w:textDirection w:val="lrTb"/>
            <w:noWrap w:val="false"/>
          </w:tcPr>
          <w:p>
            <w:pPr>
              <w:spacing w:line="264" w:lineRule="auto"/>
              <w:rPr>
                <w:rFonts w:hint="eastAsia" w:ascii="宋体" w:hAnsi="宋体" w:cs="宋体"/>
                <w:color w:val="auto"/>
                <w:spacing w:val="1"/>
                <w:highlight w:val="none"/>
              </w:rPr>
            </w:pPr>
            <w:r>
              <w:rPr>
                <w:rFonts w:hint="eastAsia" w:ascii="宋体" w:hAnsi="宋体" w:cs="宋体"/>
                <w:color w:val="auto"/>
                <w:highlight w:val="none"/>
              </w:rPr>
              <w:t xml:space="preserve">产品技术参数全部满足招标要求的得满分，打★指标为必须满足项，如有负偏离将作为无效投标，打▲指标为重要指标，有1项负偏离扣3分，其余指标有1项负偏离扣0.2分，扣完为止。</w:t>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24</w:t>
            </w:r>
            <w:r/>
          </w:p>
        </w:tc>
        <w:tc>
          <w:tcPr>
            <w:tcW w:w="900"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2.2</w:t>
            </w:r>
            <w:r/>
          </w:p>
        </w:tc>
        <w:tc>
          <w:tcPr>
            <w:tcW w:w="1179" w:type="dxa"/>
            <w:vAlign w:val="center"/>
            <w:textDirection w:val="lrTb"/>
            <w:noWrap w:val="false"/>
          </w:tcPr>
          <w:p>
            <w:pPr>
              <w:jc w:val="left"/>
              <w:spacing w:before="68" w:line="264" w:lineRule="auto"/>
              <w:rPr>
                <w:rFonts w:hint="eastAsia"/>
                <w:color w:val="auto"/>
                <w:highlight w:val="none"/>
              </w:rPr>
            </w:pPr>
            <w:r>
              <w:rPr>
                <w:rFonts w:hint="eastAsia" w:ascii="宋体" w:hAnsi="宋体" w:cs="宋体"/>
                <w:color w:val="auto"/>
                <w:highlight w:val="none"/>
              </w:rPr>
              <w:t xml:space="preserve">视频演示-双站紧缩场测试</w:t>
            </w:r>
            <w:r/>
          </w:p>
        </w:tc>
        <w:tc>
          <w:tcPr>
            <w:tcW w:w="6330" w:type="dxa"/>
            <w:vAlign w:val="center"/>
            <w:textDirection w:val="lrTb"/>
            <w:noWrap w:val="false"/>
          </w:tcPr>
          <w:p>
            <w:pPr>
              <w:rPr>
                <w:rFonts w:hint="eastAsia"/>
                <w:color w:val="auto"/>
                <w:highlight w:val="none"/>
              </w:rPr>
            </w:pPr>
            <w:r>
              <w:rPr>
                <w:rFonts w:hint="eastAsia"/>
                <w:color w:val="auto"/>
                <w:highlight w:val="none"/>
              </w:rPr>
              <w:t xml:space="preserve">评委根据投标人述标视频中提供的双站紧缩场的双站测试功能软件和硬件方面的论述综合评分</w:t>
            </w:r>
            <w:r>
              <w:rPr>
                <w:rFonts w:hint="eastAsia" w:ascii="宋体" w:hAnsi="宋体" w:cs="宋体"/>
                <w:color w:val="auto"/>
                <w:szCs w:val="21"/>
                <w:highlight w:val="none"/>
              </w:rPr>
              <w:t xml:space="preserve">（每项内容逐条阐述）</w:t>
            </w:r>
            <w:r/>
          </w:p>
          <w:p>
            <w:pPr>
              <w:rPr>
                <w:color w:val="auto"/>
                <w:highlight w:val="none"/>
              </w:rPr>
            </w:pPr>
            <w:r>
              <w:rPr>
                <w:rFonts w:hint="eastAsia"/>
                <w:color w:val="auto"/>
                <w:highlight w:val="none"/>
              </w:rPr>
              <w:t xml:space="preserve">包含1、紧缩场主副反射面静区特性和RCS双站测试分析；2、对实现多普勒和微多普勒频谱分析功能进行论述和仿真；3、阵列馈源与反射面配合形成-10°~10°平面波的方法及仿真；4、低频测试时的三维成像功能，要求对以上内容的测试原理、方法、实现方式进行详细论述。</w:t>
            </w:r>
            <w:r/>
          </w:p>
          <w:p>
            <w:pPr>
              <w:numPr>
                <w:ilvl w:val="0"/>
                <w:numId w:val="4"/>
              </w:numPr>
              <w:rPr>
                <w:rFonts w:hint="eastAsia"/>
                <w:color w:val="auto"/>
                <w:highlight w:val="none"/>
              </w:rPr>
            </w:pPr>
            <w:r>
              <w:rPr>
                <w:rFonts w:hint="eastAsia"/>
                <w:color w:val="auto"/>
                <w:highlight w:val="none"/>
              </w:rPr>
              <w:t xml:space="preserve">上述每项充分符合用户实际需求、各项功能介绍详细，系统功能联动性实现效果明显，具备良好的效果图及动画演示，通过仿真数据或实际数据进行说明验证的，得2.5分；</w:t>
            </w:r>
            <w:r/>
          </w:p>
          <w:p>
            <w:pPr>
              <w:rPr>
                <w:rFonts w:hint="eastAsia"/>
                <w:color w:val="auto"/>
                <w:highlight w:val="none"/>
              </w:rPr>
            </w:pPr>
            <w:r>
              <w:rPr>
                <w:rFonts w:hint="eastAsia"/>
                <w:color w:val="auto"/>
                <w:highlight w:val="none"/>
              </w:rPr>
              <w:t xml:space="preserve">(2)上述每项符合用户实际需求、功能介绍完整，原理阐述正确，方案合理基本能实现系统整体功能的，得1分；</w:t>
            </w:r>
            <w:r/>
          </w:p>
          <w:p>
            <w:pPr>
              <w:rPr>
                <w:rFonts w:hint="eastAsia"/>
                <w:color w:val="auto"/>
                <w:highlight w:val="none"/>
              </w:rPr>
            </w:pPr>
            <w:r>
              <w:rPr>
                <w:rFonts w:hint="eastAsia"/>
                <w:color w:val="auto"/>
                <w:highlight w:val="none"/>
              </w:rPr>
              <w:t xml:space="preserve">(3)上述每项需求及功能要求的实现程度和功能介绍粗略，布局规划考虑一般，系统功能实现效果不明确的，得0分；</w:t>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10</w:t>
            </w:r>
            <w:r/>
          </w:p>
        </w:tc>
        <w:tc>
          <w:tcPr>
            <w:tcW w:w="900"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主观分</w:t>
            </w:r>
            <w:r/>
          </w:p>
        </w:tc>
      </w:tr>
      <w:tr>
        <w:trPr>
          <w:jc w:val="center"/>
          <w:trHeight w:val="889"/>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2.3</w:t>
            </w:r>
            <w:r/>
          </w:p>
        </w:tc>
        <w:tc>
          <w:tcPr>
            <w:tcW w:w="1179" w:type="dxa"/>
            <w:vAlign w:val="center"/>
            <w:textDirection w:val="lrTb"/>
            <w:noWrap w:val="false"/>
          </w:tcPr>
          <w:p>
            <w:pPr>
              <w:jc w:val="left"/>
              <w:spacing w:before="68" w:line="264" w:lineRule="auto"/>
              <w:rPr>
                <w:rFonts w:hint="eastAsia" w:ascii="宋体" w:hAnsi="宋体" w:cs="宋体"/>
                <w:color w:val="auto"/>
                <w:highlight w:val="none"/>
              </w:rPr>
            </w:pPr>
            <w:r>
              <w:rPr>
                <w:rFonts w:hint="eastAsia" w:ascii="宋体" w:hAnsi="宋体" w:cs="宋体"/>
                <w:color w:val="auto"/>
                <w:highlight w:val="none"/>
              </w:rPr>
              <w:t xml:space="preserve">视频演示-通感一体化测试</w:t>
            </w:r>
            <w:r/>
          </w:p>
        </w:tc>
        <w:tc>
          <w:tcPr>
            <w:tcW w:w="6330" w:type="dxa"/>
            <w:vAlign w:val="center"/>
            <w:textDirection w:val="lrTb"/>
            <w:noWrap w:val="false"/>
          </w:tcPr>
          <w:p>
            <w:pPr>
              <w:rPr>
                <w:rFonts w:hint="eastAsia"/>
                <w:color w:val="auto"/>
                <w:highlight w:val="none"/>
              </w:rPr>
            </w:pPr>
            <w:r>
              <w:rPr>
                <w:rFonts w:hint="eastAsia"/>
                <w:color w:val="auto"/>
                <w:highlight w:val="none"/>
              </w:rPr>
              <w:t xml:space="preserve">评委根据投标人视频述标时提供的通感一体化测试子系统要求的功能软件和硬件方面的论述综合评分</w:t>
            </w:r>
            <w:r>
              <w:rPr>
                <w:rFonts w:hint="eastAsia" w:ascii="宋体" w:hAnsi="宋体" w:cs="宋体"/>
                <w:color w:val="auto"/>
                <w:szCs w:val="21"/>
                <w:highlight w:val="none"/>
              </w:rPr>
              <w:t xml:space="preserve">（每项内容逐条阐述）</w:t>
            </w:r>
            <w:r/>
          </w:p>
          <w:p>
            <w:pPr>
              <w:rPr>
                <w:color w:val="auto"/>
                <w:highlight w:val="none"/>
              </w:rPr>
            </w:pPr>
            <w:r>
              <w:rPr>
                <w:rFonts w:hint="eastAsia"/>
                <w:color w:val="auto"/>
                <w:highlight w:val="none"/>
              </w:rPr>
              <w:t xml:space="preserve">包含1、动目标测试；2、双站雷达模拟测试；3、宽角域校准系统；4、通感基站的测试，要求对以上内容的测试原理、方法、实现方式进行详细论述。</w:t>
            </w:r>
            <w:r/>
          </w:p>
          <w:p>
            <w:pPr>
              <w:rPr>
                <w:color w:val="auto"/>
                <w:highlight w:val="none"/>
              </w:rPr>
            </w:pPr>
            <w:r>
              <w:rPr>
                <w:rFonts w:hint="eastAsia"/>
                <w:color w:val="auto"/>
                <w:highlight w:val="none"/>
              </w:rPr>
              <w:t xml:space="preserve">(1)上述每项充分符合用户实际需求、各项功能介绍详细，系统功能联动性实现效果明显，具备良好的效果图及动画演示，通过仿真数据或实际数据进行说明验证的，得2.5分；</w:t>
            </w:r>
            <w:r/>
          </w:p>
          <w:p>
            <w:pPr>
              <w:rPr>
                <w:color w:val="auto"/>
                <w:highlight w:val="none"/>
              </w:rPr>
            </w:pPr>
            <w:r>
              <w:rPr>
                <w:rFonts w:hint="eastAsia"/>
                <w:color w:val="auto"/>
                <w:highlight w:val="none"/>
              </w:rPr>
              <w:t xml:space="preserve">(2)上述每项符合用户实际需求、功能介绍完整，基本能实现系统整体功能的，得1分；</w:t>
            </w:r>
            <w:r/>
          </w:p>
          <w:p>
            <w:pPr>
              <w:rPr>
                <w:rFonts w:eastAsia="宋体"/>
                <w:color w:val="auto"/>
                <w:highlight w:val="none"/>
                <w:lang w:val="en-US" w:eastAsia="zh-CN"/>
              </w:rPr>
            </w:pPr>
            <w:r>
              <w:rPr>
                <w:rFonts w:hint="eastAsia"/>
                <w:color w:val="auto"/>
                <w:highlight w:val="none"/>
              </w:rPr>
              <w:t xml:space="preserve">(3)上述每项需求及功能要求的实现程度和功能介绍粗略，规划考虑一般，系统功能实现效果不明确的，得0分；</w:t>
            </w:r>
            <w:r/>
          </w:p>
        </w:tc>
        <w:tc>
          <w:tcPr>
            <w:tcW w:w="647"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highlight w:val="none"/>
              </w:rPr>
              <w:t xml:space="preserve">10</w:t>
            </w:r>
            <w:r/>
          </w:p>
        </w:tc>
        <w:tc>
          <w:tcPr>
            <w:tcW w:w="900"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主观分</w:t>
            </w:r>
            <w:r/>
          </w:p>
        </w:tc>
      </w:tr>
      <w:tr>
        <w:trPr>
          <w:jc w:val="center"/>
          <w:trHeight w:val="329"/>
        </w:trPr>
        <w:tc>
          <w:tcPr>
            <w:gridSpan w:val="5"/>
            <w:tcW w:w="9575" w:type="dxa"/>
            <w:vAlign w:val="center"/>
            <w:textDirection w:val="lrTb"/>
            <w:noWrap w:val="false"/>
          </w:tcPr>
          <w:p>
            <w:pPr>
              <w:spacing w:before="68"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3.1</w:t>
            </w:r>
            <w:r/>
          </w:p>
        </w:tc>
        <w:tc>
          <w:tcPr>
            <w:tcW w:w="1179" w:type="dxa"/>
            <w:vAlign w:val="center"/>
            <w:textDirection w:val="lrTb"/>
            <w:noWrap w:val="false"/>
          </w:tcPr>
          <w:p>
            <w:pPr>
              <w:jc w:val="left"/>
              <w:spacing w:before="68" w:line="264" w:lineRule="auto"/>
              <w:rPr>
                <w:rFonts w:hint="eastAsia" w:ascii="宋体" w:hAnsi="宋体" w:cs="宋体"/>
                <w:color w:val="auto"/>
                <w:highlight w:val="none"/>
              </w:rPr>
            </w:pPr>
            <w:r>
              <w:rPr>
                <w:rFonts w:hint="eastAsia" w:ascii="宋体" w:hAnsi="宋体" w:cs="宋体"/>
                <w:color w:val="auto"/>
                <w:highlight w:val="none"/>
              </w:rPr>
              <w:t xml:space="preserve">实施方案</w:t>
            </w:r>
            <w:r/>
          </w:p>
        </w:tc>
        <w:tc>
          <w:tcPr>
            <w:tcW w:w="6330" w:type="dxa"/>
            <w:vAlign w:val="center"/>
            <w:textDirection w:val="lrTb"/>
            <w:noWrap w:val="false"/>
          </w:tcPr>
          <w:p>
            <w:pPr>
              <w:pStyle w:val="996"/>
              <w:spacing w:line="264" w:lineRule="auto"/>
              <w:rPr>
                <w:color w:val="auto"/>
                <w:sz w:val="21"/>
                <w:highlight w:val="none"/>
                <w:lang w:val="en-US" w:bidi="ar-SA"/>
              </w:rPr>
            </w:pPr>
            <w:r>
              <w:rPr>
                <w:rFonts w:hint="eastAsia"/>
                <w:color w:val="auto"/>
                <w:sz w:val="21"/>
                <w:highlight w:val="none"/>
                <w:lang w:bidi="ar-SA"/>
              </w:rPr>
              <w:t xml:space="preserve">根据投标人</w:t>
            </w:r>
            <w:bookmarkStart w:id="210" w:name="OLE_LINK5"/>
            <w:r>
              <w:rPr>
                <w:rFonts w:hint="eastAsia"/>
                <w:color w:val="auto"/>
                <w:sz w:val="21"/>
                <w:highlight w:val="none"/>
                <w:lang w:val="en-US" w:bidi="ar-SA"/>
              </w:rPr>
              <w:t xml:space="preserve">提供的实施方案综合评分</w:t>
            </w:r>
            <w:r>
              <w:rPr>
                <w:rFonts w:hint="eastAsia" w:ascii="宋体" w:hAnsi="宋体" w:cs="宋体"/>
                <w:color w:val="auto"/>
                <w:szCs w:val="21"/>
                <w:highlight w:val="none"/>
              </w:rPr>
              <w:t xml:space="preserve">（每项内容逐条阐述）</w:t>
            </w:r>
            <w:r/>
          </w:p>
          <w:p>
            <w:pPr>
              <w:pStyle w:val="996"/>
              <w:spacing w:line="264" w:lineRule="auto"/>
              <w:rPr>
                <w:rFonts w:hint="eastAsia"/>
                <w:color w:val="auto"/>
                <w:sz w:val="21"/>
                <w:highlight w:val="none"/>
                <w:lang w:bidi="ar-SA"/>
              </w:rPr>
            </w:pPr>
            <w:r>
              <w:rPr>
                <w:rFonts w:hint="eastAsia"/>
                <w:color w:val="auto"/>
                <w:sz w:val="21"/>
                <w:highlight w:val="none"/>
                <w:lang w:val="en-US" w:bidi="ar-SA"/>
              </w:rPr>
              <w:t xml:space="preserve">包含：1、</w:t>
            </w:r>
            <w:r>
              <w:rPr>
                <w:rFonts w:hint="eastAsia"/>
                <w:color w:val="auto"/>
                <w:sz w:val="21"/>
                <w:highlight w:val="none"/>
                <w:lang w:bidi="ar-SA"/>
              </w:rPr>
              <w:t xml:space="preserve">安装、调试</w:t>
            </w:r>
            <w:r>
              <w:rPr>
                <w:rFonts w:hint="eastAsia"/>
                <w:color w:val="auto"/>
                <w:sz w:val="21"/>
                <w:highlight w:val="none"/>
                <w:lang w:val="en-US" w:bidi="ar-SA"/>
              </w:rPr>
              <w:t xml:space="preserve">及</w:t>
            </w:r>
            <w:r>
              <w:rPr>
                <w:rFonts w:hint="eastAsia"/>
                <w:color w:val="auto"/>
                <w:sz w:val="21"/>
                <w:highlight w:val="none"/>
                <w:lang w:bidi="ar-SA"/>
              </w:rPr>
              <w:t xml:space="preserve">软硬件集成</w:t>
            </w:r>
            <w:r>
              <w:rPr>
                <w:rFonts w:hint="eastAsia"/>
                <w:color w:val="auto"/>
                <w:sz w:val="21"/>
                <w:highlight w:val="none"/>
                <w:lang w:val="en-US" w:bidi="ar-SA"/>
              </w:rPr>
              <w:t xml:space="preserve">方案</w:t>
            </w:r>
            <w:r>
              <w:rPr>
                <w:rFonts w:hint="eastAsia"/>
                <w:color w:val="auto"/>
                <w:sz w:val="21"/>
                <w:highlight w:val="none"/>
                <w:lang w:bidi="ar-SA"/>
              </w:rPr>
              <w:t xml:space="preserve">；</w:t>
            </w:r>
            <w:r>
              <w:rPr>
                <w:rFonts w:hint="eastAsia"/>
                <w:color w:val="auto"/>
                <w:sz w:val="21"/>
                <w:highlight w:val="none"/>
                <w:lang w:val="en-US" w:bidi="ar-SA"/>
              </w:rPr>
              <w:t xml:space="preserve">2、</w:t>
            </w:r>
            <w:r>
              <w:rPr>
                <w:rFonts w:hint="eastAsia"/>
                <w:color w:val="auto"/>
                <w:sz w:val="21"/>
                <w:highlight w:val="none"/>
                <w:lang w:bidi="ar-SA"/>
              </w:rPr>
              <w:t xml:space="preserve">交付时间保障方案；</w:t>
            </w:r>
            <w:r>
              <w:rPr>
                <w:rFonts w:hint="eastAsia"/>
                <w:color w:val="auto"/>
                <w:sz w:val="21"/>
                <w:highlight w:val="none"/>
                <w:lang w:val="en-US" w:bidi="ar-SA"/>
              </w:rPr>
              <w:t xml:space="preserve">3、</w:t>
            </w:r>
            <w:r>
              <w:rPr>
                <w:rFonts w:hint="eastAsia"/>
                <w:color w:val="auto"/>
                <w:sz w:val="21"/>
                <w:highlight w:val="none"/>
                <w:lang w:bidi="ar-SA"/>
              </w:rPr>
              <w:t xml:space="preserve">试运行计划；</w:t>
            </w:r>
            <w:r>
              <w:rPr>
                <w:rFonts w:hint="eastAsia"/>
                <w:color w:val="auto"/>
                <w:sz w:val="21"/>
                <w:highlight w:val="none"/>
                <w:lang w:val="en-US" w:bidi="ar-SA"/>
              </w:rPr>
              <w:t xml:space="preserve">4、</w:t>
            </w:r>
            <w:r>
              <w:rPr>
                <w:rFonts w:hint="eastAsia"/>
                <w:color w:val="auto"/>
                <w:sz w:val="21"/>
                <w:highlight w:val="none"/>
                <w:lang w:bidi="ar-SA"/>
              </w:rPr>
              <w:t xml:space="preserve">拟派</w:t>
            </w:r>
            <w:bookmarkStart w:id="211" w:name="OLE_LINK21"/>
            <w:r>
              <w:rPr>
                <w:rFonts w:hint="eastAsia"/>
                <w:color w:val="auto"/>
                <w:sz w:val="21"/>
                <w:highlight w:val="none"/>
                <w:lang w:bidi="ar-SA"/>
              </w:rPr>
              <w:t xml:space="preserve">安装人员团队、项目经理</w:t>
            </w:r>
            <w:bookmarkEnd w:id="211"/>
            <w:r>
              <w:rPr>
                <w:rFonts w:hint="eastAsia"/>
                <w:color w:val="auto"/>
                <w:sz w:val="21"/>
                <w:highlight w:val="none"/>
                <w:lang w:bidi="ar-SA"/>
              </w:rPr>
              <w:t xml:space="preserve">的</w:t>
            </w:r>
            <w:bookmarkEnd w:id="210"/>
            <w:r>
              <w:rPr>
                <w:rFonts w:hint="eastAsia"/>
                <w:color w:val="auto"/>
                <w:sz w:val="21"/>
                <w:highlight w:val="none"/>
                <w:lang w:val="en-US" w:bidi="ar-SA"/>
              </w:rPr>
              <w:t xml:space="preserve">履历</w:t>
            </w:r>
            <w:r>
              <w:rPr>
                <w:rFonts w:hint="eastAsia"/>
                <w:color w:val="auto"/>
                <w:sz w:val="21"/>
                <w:highlight w:val="none"/>
                <w:lang w:bidi="ar-SA"/>
              </w:rPr>
              <w:t xml:space="preserve">：</w:t>
            </w:r>
            <w:r/>
          </w:p>
          <w:p>
            <w:pPr>
              <w:pStyle w:val="996"/>
              <w:spacing w:line="264" w:lineRule="auto"/>
              <w:rPr>
                <w:rFonts w:hint="eastAsia"/>
                <w:color w:val="auto"/>
                <w:sz w:val="21"/>
                <w:highlight w:val="none"/>
                <w:lang w:bidi="ar-SA"/>
              </w:rPr>
            </w:pPr>
            <w:r>
              <w:rPr>
                <w:rFonts w:hint="eastAsia"/>
                <w:color w:val="auto"/>
                <w:sz w:val="21"/>
                <w:highlight w:val="none"/>
                <w:lang w:bidi="ar-SA"/>
              </w:rPr>
              <w:t xml:space="preserve">（1）</w:t>
            </w:r>
            <w:r>
              <w:rPr>
                <w:rFonts w:hint="eastAsia"/>
                <w:color w:val="auto"/>
                <w:sz w:val="21"/>
                <w:highlight w:val="none"/>
                <w:lang w:val="en-US" w:bidi="ar-SA"/>
              </w:rPr>
              <w:t xml:space="preserve">上述每项需求完善周全，紧贴采购需求的</w:t>
            </w:r>
            <w:r>
              <w:rPr>
                <w:rFonts w:hint="eastAsia"/>
                <w:color w:val="auto"/>
                <w:sz w:val="21"/>
                <w:highlight w:val="none"/>
                <w:lang w:bidi="ar-SA"/>
              </w:rPr>
              <w:t xml:space="preserve">，得</w:t>
            </w:r>
            <w:r>
              <w:rPr>
                <w:rFonts w:hint="eastAsia"/>
                <w:color w:val="auto"/>
                <w:sz w:val="21"/>
                <w:highlight w:val="none"/>
                <w:lang w:val="en-US" w:bidi="ar-SA"/>
              </w:rPr>
              <w:t xml:space="preserve">2</w:t>
            </w:r>
            <w:r>
              <w:rPr>
                <w:rFonts w:hint="eastAsia"/>
                <w:color w:val="auto"/>
                <w:sz w:val="21"/>
                <w:highlight w:val="none"/>
                <w:lang w:bidi="ar-SA"/>
              </w:rPr>
              <w:t xml:space="preserve">分；</w:t>
            </w:r>
            <w:r/>
          </w:p>
          <w:p>
            <w:pPr>
              <w:pStyle w:val="996"/>
              <w:spacing w:line="264" w:lineRule="auto"/>
              <w:rPr>
                <w:rFonts w:hint="eastAsia"/>
                <w:color w:val="auto"/>
                <w:sz w:val="21"/>
                <w:highlight w:val="none"/>
                <w:lang w:bidi="ar-SA"/>
              </w:rPr>
            </w:pPr>
            <w:r>
              <w:rPr>
                <w:rFonts w:hint="eastAsia"/>
                <w:color w:val="auto"/>
                <w:sz w:val="21"/>
                <w:highlight w:val="none"/>
                <w:lang w:bidi="ar-SA"/>
              </w:rPr>
              <w:t xml:space="preserve">（2）</w:t>
            </w:r>
            <w:r>
              <w:rPr>
                <w:rFonts w:hint="eastAsia"/>
                <w:color w:val="auto"/>
                <w:sz w:val="21"/>
                <w:highlight w:val="none"/>
                <w:lang w:val="en-US" w:bidi="ar-SA"/>
              </w:rPr>
              <w:t xml:space="preserve">上述每项需求</w:t>
            </w:r>
            <w:r>
              <w:rPr>
                <w:rFonts w:hint="eastAsia"/>
                <w:color w:val="auto"/>
                <w:sz w:val="21"/>
                <w:highlight w:val="none"/>
                <w:lang w:bidi="ar-SA"/>
              </w:rPr>
              <w:t xml:space="preserve">基本合理，</w:t>
            </w:r>
            <w:r>
              <w:rPr>
                <w:rFonts w:hint="eastAsia"/>
                <w:color w:val="auto"/>
                <w:sz w:val="21"/>
                <w:highlight w:val="none"/>
                <w:lang w:val="en-US" w:bidi="ar-SA"/>
              </w:rPr>
              <w:t xml:space="preserve">能够</w:t>
            </w:r>
            <w:r>
              <w:rPr>
                <w:rFonts w:hint="eastAsia"/>
                <w:color w:val="auto"/>
                <w:sz w:val="21"/>
                <w:highlight w:val="none"/>
                <w:lang w:bidi="ar-SA"/>
              </w:rPr>
              <w:t xml:space="preserve">满足采购需求的，得</w:t>
            </w:r>
            <w:r>
              <w:rPr>
                <w:rFonts w:hint="eastAsia"/>
                <w:color w:val="auto"/>
                <w:sz w:val="21"/>
                <w:highlight w:val="none"/>
                <w:lang w:val="en-US" w:bidi="ar-SA"/>
              </w:rPr>
              <w:t xml:space="preserve">1</w:t>
            </w:r>
            <w:r>
              <w:rPr>
                <w:rFonts w:hint="eastAsia"/>
                <w:color w:val="auto"/>
                <w:sz w:val="21"/>
                <w:highlight w:val="none"/>
                <w:lang w:bidi="ar-SA"/>
              </w:rPr>
              <w:t xml:space="preserve">分；</w:t>
            </w:r>
            <w:r/>
          </w:p>
          <w:p>
            <w:pPr>
              <w:pStyle w:val="996"/>
              <w:spacing w:line="264" w:lineRule="auto"/>
              <w:rPr>
                <w:rFonts w:hint="eastAsia"/>
                <w:color w:val="auto"/>
                <w:sz w:val="21"/>
                <w:highlight w:val="none"/>
                <w:lang w:bidi="ar-SA"/>
              </w:rPr>
            </w:pPr>
            <w:r>
              <w:rPr>
                <w:rFonts w:hint="eastAsia"/>
                <w:color w:val="auto"/>
                <w:sz w:val="21"/>
                <w:highlight w:val="none"/>
                <w:lang w:bidi="ar-SA"/>
              </w:rPr>
              <w:t xml:space="preserve">（3）</w:t>
            </w:r>
            <w:r>
              <w:rPr>
                <w:rFonts w:hint="eastAsia"/>
                <w:color w:val="auto"/>
                <w:sz w:val="21"/>
                <w:highlight w:val="none"/>
                <w:lang w:val="en-US" w:bidi="ar-SA"/>
              </w:rPr>
              <w:t xml:space="preserve">上述每项需求</w:t>
            </w:r>
            <w:r>
              <w:rPr>
                <w:rFonts w:hint="eastAsia"/>
                <w:color w:val="auto"/>
                <w:sz w:val="21"/>
                <w:highlight w:val="none"/>
                <w:lang w:bidi="ar-SA"/>
              </w:rPr>
              <w:t xml:space="preserve">不够完整或缺乏合理性，</w:t>
            </w:r>
            <w:r>
              <w:rPr>
                <w:rFonts w:hint="eastAsia"/>
                <w:color w:val="auto"/>
                <w:sz w:val="21"/>
                <w:highlight w:val="none"/>
                <w:lang w:val="en-US" w:bidi="ar-SA"/>
              </w:rPr>
              <w:t xml:space="preserve">不符合采购需求</w:t>
            </w:r>
            <w:r>
              <w:rPr>
                <w:rFonts w:hint="eastAsia"/>
                <w:color w:val="auto"/>
                <w:sz w:val="21"/>
                <w:highlight w:val="none"/>
                <w:lang w:bidi="ar-SA"/>
              </w:rPr>
              <w:t xml:space="preserve">的，得0分；</w:t>
            </w:r>
            <w:r/>
          </w:p>
        </w:tc>
        <w:tc>
          <w:tcPr>
            <w:tcW w:w="64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W w:w="900"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3.2</w:t>
            </w:r>
            <w:r/>
          </w:p>
        </w:tc>
        <w:tc>
          <w:tcPr>
            <w:tcW w:w="1179" w:type="dxa"/>
            <w:vAlign w:val="center"/>
            <w:textDirection w:val="lrTb"/>
            <w:noWrap w:val="false"/>
          </w:tcPr>
          <w:p>
            <w:pPr>
              <w:jc w:val="left"/>
              <w:spacing w:before="68" w:line="264" w:lineRule="auto"/>
              <w:rPr>
                <w:rFonts w:hint="eastAsia" w:ascii="宋体" w:hAnsi="宋体" w:cs="宋体"/>
                <w:color w:val="auto"/>
                <w:highlight w:val="none"/>
              </w:rPr>
            </w:pPr>
            <w:r>
              <w:rPr>
                <w:rFonts w:hint="eastAsia" w:ascii="宋体" w:hAnsi="宋体" w:cs="宋体"/>
                <w:color w:val="auto"/>
                <w:highlight w:val="none"/>
              </w:rPr>
              <w:t xml:space="preserve">售后服务方案</w:t>
            </w:r>
            <w:r/>
          </w:p>
        </w:tc>
        <w:tc>
          <w:tcPr>
            <w:tcW w:w="6330" w:type="dxa"/>
            <w:vAlign w:val="center"/>
            <w:textDirection w:val="lrTb"/>
            <w:noWrap w:val="false"/>
          </w:tcPr>
          <w:p>
            <w:pPr>
              <w:pStyle w:val="996"/>
              <w:spacing w:line="264" w:lineRule="auto"/>
              <w:rPr>
                <w:color w:val="auto"/>
                <w:sz w:val="21"/>
                <w:highlight w:val="none"/>
                <w:lang w:val="en-US" w:bidi="ar-SA"/>
              </w:rPr>
            </w:pPr>
            <w:r>
              <w:rPr>
                <w:rFonts w:hint="eastAsia"/>
                <w:color w:val="auto"/>
                <w:sz w:val="21"/>
                <w:highlight w:val="none"/>
                <w:lang w:val="en-US" w:bidi="ar-SA"/>
              </w:rPr>
              <w:t xml:space="preserve">根据投标人提供的售后服务方案综合评分</w:t>
            </w:r>
            <w:r>
              <w:rPr>
                <w:rFonts w:hint="eastAsia" w:ascii="宋体" w:hAnsi="宋体" w:cs="宋体"/>
                <w:color w:val="auto"/>
                <w:szCs w:val="21"/>
                <w:highlight w:val="none"/>
              </w:rPr>
              <w:t xml:space="preserve">（每项内容逐条阐述）</w:t>
            </w:r>
            <w:r/>
          </w:p>
          <w:p>
            <w:pPr>
              <w:pStyle w:val="996"/>
              <w:spacing w:line="264" w:lineRule="auto"/>
              <w:rPr>
                <w:rFonts w:hint="eastAsia"/>
                <w:color w:val="auto"/>
                <w:sz w:val="21"/>
                <w:highlight w:val="none"/>
                <w:lang w:val="en-US" w:bidi="ar-SA"/>
              </w:rPr>
            </w:pPr>
            <w:r>
              <w:rPr>
                <w:rFonts w:hint="eastAsia"/>
                <w:color w:val="auto"/>
                <w:sz w:val="21"/>
                <w:highlight w:val="none"/>
                <w:lang w:val="en-US" w:bidi="ar-SA"/>
              </w:rPr>
              <w:t xml:space="preserve">包含：1、详细售后服务方案；2、服务机构便利</w:t>
            </w:r>
            <w:r>
              <w:rPr>
                <w:rFonts w:hint="eastAsia"/>
                <w:color w:val="auto"/>
                <w:sz w:val="21"/>
                <w:highlight w:val="none"/>
                <w:lang w:val="en-US" w:eastAsia="zh-CN" w:bidi="ar-SA"/>
              </w:rPr>
              <w:t xml:space="preserve">采购人</w:t>
            </w:r>
            <w:r>
              <w:rPr>
                <w:rFonts w:hint="eastAsia"/>
                <w:color w:val="auto"/>
                <w:sz w:val="21"/>
                <w:highlight w:val="none"/>
                <w:lang w:val="en-US" w:bidi="ar-SA"/>
              </w:rPr>
              <w:t xml:space="preserve">的程度及服务能力；3、人员、售后服务机构的优劣；4、维修响应时间：</w:t>
            </w:r>
            <w:r/>
          </w:p>
          <w:p>
            <w:pPr>
              <w:pStyle w:val="996"/>
              <w:spacing w:line="264" w:lineRule="auto"/>
              <w:rPr>
                <w:rFonts w:hint="eastAsia"/>
                <w:color w:val="auto"/>
                <w:sz w:val="21"/>
                <w:highlight w:val="none"/>
                <w:lang w:bidi="ar-SA"/>
              </w:rPr>
            </w:pPr>
            <w:r>
              <w:rPr>
                <w:rFonts w:hint="eastAsia"/>
                <w:color w:val="auto"/>
                <w:sz w:val="21"/>
                <w:highlight w:val="none"/>
                <w:lang w:bidi="ar-SA"/>
              </w:rPr>
              <w:t xml:space="preserve">（1）</w:t>
            </w:r>
            <w:r>
              <w:rPr>
                <w:rFonts w:hint="eastAsia"/>
                <w:color w:val="auto"/>
                <w:sz w:val="21"/>
                <w:highlight w:val="none"/>
                <w:lang w:val="en-US" w:bidi="ar-SA"/>
              </w:rPr>
              <w:t xml:space="preserve">上述每项方案完善周全，紧贴采购需求的</w:t>
            </w:r>
            <w:r>
              <w:rPr>
                <w:rFonts w:hint="eastAsia"/>
                <w:color w:val="auto"/>
                <w:sz w:val="21"/>
                <w:highlight w:val="none"/>
                <w:lang w:bidi="ar-SA"/>
              </w:rPr>
              <w:t xml:space="preserve">，得</w:t>
            </w:r>
            <w:r>
              <w:rPr>
                <w:rFonts w:hint="eastAsia"/>
                <w:color w:val="auto"/>
                <w:sz w:val="21"/>
                <w:highlight w:val="none"/>
                <w:lang w:val="en-US" w:bidi="ar-SA"/>
              </w:rPr>
              <w:t xml:space="preserve">2</w:t>
            </w:r>
            <w:r>
              <w:rPr>
                <w:rFonts w:hint="eastAsia"/>
                <w:color w:val="auto"/>
                <w:sz w:val="21"/>
                <w:highlight w:val="none"/>
                <w:lang w:bidi="ar-SA"/>
              </w:rPr>
              <w:t xml:space="preserve">分；</w:t>
            </w:r>
            <w:r/>
          </w:p>
          <w:p>
            <w:pPr>
              <w:pStyle w:val="996"/>
              <w:spacing w:line="264" w:lineRule="auto"/>
              <w:rPr>
                <w:rFonts w:hint="eastAsia"/>
                <w:color w:val="auto"/>
                <w:sz w:val="21"/>
                <w:highlight w:val="none"/>
                <w:lang w:bidi="ar-SA"/>
              </w:rPr>
            </w:pPr>
            <w:r>
              <w:rPr>
                <w:rFonts w:hint="eastAsia"/>
                <w:color w:val="auto"/>
                <w:sz w:val="21"/>
                <w:highlight w:val="none"/>
                <w:lang w:bidi="ar-SA"/>
              </w:rPr>
              <w:t xml:space="preserve">（2）</w:t>
            </w:r>
            <w:r>
              <w:rPr>
                <w:rFonts w:hint="eastAsia"/>
                <w:color w:val="auto"/>
                <w:sz w:val="21"/>
                <w:highlight w:val="none"/>
                <w:lang w:val="en-US" w:bidi="ar-SA"/>
              </w:rPr>
              <w:t xml:space="preserve">上述每项方案</w:t>
            </w:r>
            <w:r>
              <w:rPr>
                <w:rFonts w:hint="eastAsia"/>
                <w:color w:val="auto"/>
                <w:sz w:val="21"/>
                <w:highlight w:val="none"/>
                <w:lang w:bidi="ar-SA"/>
              </w:rPr>
              <w:t xml:space="preserve">基本合理，</w:t>
            </w:r>
            <w:r>
              <w:rPr>
                <w:rFonts w:hint="eastAsia"/>
                <w:color w:val="auto"/>
                <w:sz w:val="21"/>
                <w:highlight w:val="none"/>
                <w:lang w:val="en-US" w:bidi="ar-SA"/>
              </w:rPr>
              <w:t xml:space="preserve">能够</w:t>
            </w:r>
            <w:r>
              <w:rPr>
                <w:rFonts w:hint="eastAsia"/>
                <w:color w:val="auto"/>
                <w:sz w:val="21"/>
                <w:highlight w:val="none"/>
                <w:lang w:bidi="ar-SA"/>
              </w:rPr>
              <w:t xml:space="preserve">满足采购需求的，得</w:t>
            </w:r>
            <w:r>
              <w:rPr>
                <w:rFonts w:hint="eastAsia"/>
                <w:color w:val="auto"/>
                <w:sz w:val="21"/>
                <w:highlight w:val="none"/>
                <w:lang w:val="en-US" w:bidi="ar-SA"/>
              </w:rPr>
              <w:t xml:space="preserve">1</w:t>
            </w:r>
            <w:r>
              <w:rPr>
                <w:rFonts w:hint="eastAsia"/>
                <w:color w:val="auto"/>
                <w:sz w:val="21"/>
                <w:highlight w:val="none"/>
                <w:lang w:bidi="ar-SA"/>
              </w:rPr>
              <w:t xml:space="preserve">分；</w:t>
            </w:r>
            <w:r/>
          </w:p>
          <w:p>
            <w:pPr>
              <w:pStyle w:val="996"/>
              <w:spacing w:line="264" w:lineRule="auto"/>
              <w:rPr>
                <w:rFonts w:hint="eastAsia"/>
                <w:color w:val="auto"/>
                <w:sz w:val="21"/>
                <w:highlight w:val="none"/>
                <w:lang w:val="en-US" w:bidi="ar-SA"/>
              </w:rPr>
            </w:pPr>
            <w:r>
              <w:rPr>
                <w:rFonts w:hint="eastAsia"/>
                <w:color w:val="auto"/>
                <w:sz w:val="21"/>
                <w:highlight w:val="none"/>
                <w:lang w:bidi="ar-SA"/>
              </w:rPr>
              <w:t xml:space="preserve">（3）</w:t>
            </w:r>
            <w:r>
              <w:rPr>
                <w:rFonts w:hint="eastAsia"/>
                <w:color w:val="auto"/>
                <w:sz w:val="21"/>
                <w:highlight w:val="none"/>
                <w:lang w:val="en-US" w:bidi="ar-SA"/>
              </w:rPr>
              <w:t xml:space="preserve">上述每项方案</w:t>
            </w:r>
            <w:r>
              <w:rPr>
                <w:rFonts w:hint="eastAsia"/>
                <w:color w:val="auto"/>
                <w:sz w:val="21"/>
                <w:highlight w:val="none"/>
                <w:lang w:bidi="ar-SA"/>
              </w:rPr>
              <w:t xml:space="preserve">不够完整或缺乏合理性，</w:t>
            </w:r>
            <w:r>
              <w:rPr>
                <w:rFonts w:hint="eastAsia"/>
                <w:color w:val="auto"/>
                <w:sz w:val="21"/>
                <w:highlight w:val="none"/>
                <w:lang w:val="en-US" w:bidi="ar-SA"/>
              </w:rPr>
              <w:t xml:space="preserve">不符合采购需求</w:t>
            </w:r>
            <w:r>
              <w:rPr>
                <w:rFonts w:hint="eastAsia"/>
                <w:color w:val="auto"/>
                <w:sz w:val="21"/>
                <w:highlight w:val="none"/>
                <w:lang w:bidi="ar-SA"/>
              </w:rPr>
              <w:t xml:space="preserve">的，得0分；</w:t>
            </w:r>
            <w:r/>
          </w:p>
        </w:tc>
        <w:tc>
          <w:tcPr>
            <w:tcW w:w="64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W w:w="900"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357"/>
        </w:trPr>
        <w:tc>
          <w:tcPr>
            <w:gridSpan w:val="5"/>
            <w:tcW w:w="9575"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4.业绩</w:t>
            </w:r>
            <w:r/>
          </w:p>
        </w:tc>
      </w:tr>
      <w:tr>
        <w:trPr>
          <w:jc w:val="center"/>
          <w:trHeight w:val="343"/>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4.1</w:t>
            </w:r>
            <w:r/>
          </w:p>
        </w:tc>
        <w:tc>
          <w:tcPr>
            <w:tcW w:w="1179" w:type="dxa"/>
            <w:vAlign w:val="center"/>
            <w:textDirection w:val="lrTb"/>
            <w:noWrap w:val="false"/>
          </w:tcPr>
          <w:p>
            <w:pPr>
              <w:spacing w:before="69" w:line="264" w:lineRule="auto"/>
              <w:rPr>
                <w:rFonts w:hint="eastAsia"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W w:w="6330"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投标人提供2020年1月1日以来的类似项目业绩，</w:t>
            </w:r>
            <w:r/>
          </w:p>
          <w:p>
            <w:pPr>
              <w:spacing w:line="264" w:lineRule="auto"/>
              <w:rPr>
                <w:rFonts w:hint="eastAsia" w:ascii="宋体" w:hAnsi="宋体" w:cs="宋体"/>
                <w:color w:val="auto"/>
                <w:highlight w:val="none"/>
              </w:rPr>
            </w:pPr>
            <w:r>
              <w:rPr>
                <w:rFonts w:hint="eastAsia" w:ascii="宋体" w:hAnsi="宋体" w:cs="宋体"/>
                <w:color w:val="auto"/>
                <w:highlight w:val="none"/>
                <w:lang w:val="en-US" w:eastAsia="zh-CN"/>
              </w:rPr>
              <w:t xml:space="preserve">业绩内容包含</w:t>
            </w:r>
            <w:r>
              <w:rPr>
                <w:rFonts w:hint="eastAsia" w:ascii="宋体" w:hAnsi="宋体" w:cs="宋体"/>
                <w:color w:val="auto"/>
                <w:highlight w:val="none"/>
              </w:rPr>
              <w:t xml:space="preserve">静区不小于2m×2m的紧缩场及近场RCS测试相关案例的业绩证明材料得2分，</w:t>
            </w:r>
            <w:r>
              <w:rPr>
                <w:rFonts w:hint="eastAsia"/>
                <w:color w:val="auto"/>
                <w:highlight w:val="none"/>
              </w:rPr>
              <w:t xml:space="preserve">最高得2分</w:t>
            </w:r>
            <w:r>
              <w:rPr>
                <w:rFonts w:hint="eastAsia" w:ascii="宋体" w:hAnsi="宋体" w:cs="宋体"/>
                <w:color w:val="auto"/>
                <w:highlight w:val="none"/>
              </w:rPr>
              <w:t xml:space="preserve">；</w:t>
            </w:r>
            <w:r/>
          </w:p>
          <w:p>
            <w:pPr>
              <w:spacing w:line="264" w:lineRule="auto"/>
              <w:rPr>
                <w:rFonts w:hint="eastAsia"/>
                <w:color w:val="auto"/>
                <w:highlight w:val="none"/>
              </w:rPr>
            </w:pPr>
            <w:r>
              <w:rPr>
                <w:rFonts w:hint="eastAsia" w:ascii="宋体" w:hAnsi="宋体" w:cs="宋体"/>
                <w:color w:val="auto"/>
                <w:highlight w:val="none"/>
                <w:lang w:val="en-US" w:eastAsia="zh-CN"/>
              </w:rPr>
              <w:t xml:space="preserve">业绩内容包含</w:t>
            </w:r>
            <w:r>
              <w:rPr>
                <w:rFonts w:hint="eastAsia" w:ascii="宋体" w:hAnsi="宋体" w:cs="宋体"/>
                <w:color w:val="auto"/>
                <w:highlight w:val="none"/>
              </w:rPr>
              <w:t xml:space="preserve">空口测量电波暗室项目业绩的得2分，</w:t>
            </w:r>
            <w:r>
              <w:rPr>
                <w:rFonts w:hint="eastAsia"/>
                <w:color w:val="auto"/>
                <w:highlight w:val="none"/>
              </w:rPr>
              <w:t xml:space="preserve">最高得2分；</w:t>
            </w:r>
            <w:r/>
          </w:p>
          <w:p>
            <w:pPr>
              <w:spacing w:line="264" w:lineRule="auto"/>
              <w:rPr>
                <w:rFonts w:hint="eastAsia" w:ascii="宋体" w:hAnsi="宋体" w:cs="宋体"/>
                <w:color w:val="auto"/>
                <w:highlight w:val="none"/>
              </w:rPr>
            </w:pPr>
            <w:r>
              <w:rPr>
                <w:rFonts w:hint="eastAsia" w:ascii="宋体" w:hAnsi="宋体" w:cs="宋体"/>
                <w:color w:val="auto"/>
                <w:highlight w:val="none"/>
                <w:lang w:val="en-US" w:eastAsia="zh-CN"/>
              </w:rPr>
              <w:t xml:space="preserve">业绩内容包含</w:t>
            </w:r>
            <w:r>
              <w:rPr>
                <w:rFonts w:hint="eastAsia" w:ascii="宋体" w:hAnsi="宋体" w:cs="宋体"/>
                <w:color w:val="auto"/>
                <w:highlight w:val="none"/>
              </w:rPr>
              <w:t xml:space="preserve">阵列天线RCS测试项目业绩的得2分，</w:t>
            </w:r>
            <w:r>
              <w:rPr>
                <w:rFonts w:hint="eastAsia"/>
                <w:color w:val="auto"/>
                <w:highlight w:val="none"/>
              </w:rPr>
              <w:t xml:space="preserve">最高得2分</w:t>
            </w:r>
            <w:r>
              <w:rPr>
                <w:rFonts w:hint="eastAsia" w:ascii="宋体" w:hAnsi="宋体" w:cs="宋体"/>
                <w:color w:val="auto"/>
                <w:highlight w:val="none"/>
              </w:rPr>
              <w:t xml:space="preserve">；</w:t>
            </w:r>
            <w:r/>
          </w:p>
          <w:p>
            <w:pPr>
              <w:spacing w:line="264" w:lineRule="auto"/>
              <w:rPr>
                <w:rFonts w:hint="eastAsia" w:ascii="宋体" w:hAnsi="宋体" w:cs="宋体"/>
                <w:color w:val="auto"/>
                <w:szCs w:val="21"/>
                <w:highlight w:val="none"/>
                <w:lang w:bidi="zh-CN"/>
              </w:rPr>
            </w:pPr>
            <w:r>
              <w:rPr>
                <w:rFonts w:hint="eastAsia" w:ascii="宋体" w:hAnsi="宋体" w:cs="宋体"/>
                <w:color w:val="auto"/>
                <w:highlight w:val="none"/>
              </w:rPr>
              <w:t xml:space="preserve">本项最高6分；</w:t>
            </w:r>
            <w:r>
              <w:rPr>
                <w:rFonts w:hint="eastAsia" w:ascii="宋体" w:hAnsi="宋体" w:cs="宋体"/>
                <w:color w:val="auto"/>
                <w:szCs w:val="21"/>
                <w:highlight w:val="none"/>
              </w:rPr>
              <w:t xml:space="preserve">（提</w:t>
            </w:r>
            <w:bookmarkStart w:id="212" w:name="OLE_LINK27"/>
            <w:r>
              <w:rPr>
                <w:rFonts w:hint="eastAsia" w:ascii="宋体" w:hAnsi="宋体" w:cs="宋体"/>
                <w:color w:val="auto"/>
                <w:szCs w:val="21"/>
                <w:highlight w:val="none"/>
              </w:rPr>
              <w:t xml:space="preserve">供有效合同及发票，时间</w:t>
            </w:r>
            <w:bookmarkEnd w:id="212"/>
            <w:r>
              <w:rPr>
                <w:rFonts w:hint="eastAsia" w:ascii="宋体" w:hAnsi="宋体" w:cs="宋体"/>
                <w:color w:val="auto"/>
                <w:szCs w:val="21"/>
                <w:highlight w:val="none"/>
              </w:rPr>
              <w:t xml:space="preserve">以合同签订时间为准，合同页须清晰可见相应内容）</w:t>
            </w:r>
            <w:r/>
          </w:p>
        </w:tc>
        <w:tc>
          <w:tcPr>
            <w:tcW w:w="647" w:type="dxa"/>
            <w:vAlign w:val="center"/>
            <w:textDirection w:val="lrTb"/>
            <w:noWrap w:val="false"/>
          </w:tcPr>
          <w:p>
            <w:pPr>
              <w:jc w:val="center"/>
              <w:spacing w:line="264" w:lineRule="auto"/>
              <w:rPr>
                <w:rFonts w:hint="eastAsia" w:ascii="宋体" w:hAnsi="宋体" w:cs="宋体"/>
                <w:color w:val="auto"/>
                <w:szCs w:val="21"/>
                <w:highlight w:val="none"/>
              </w:rPr>
            </w:pPr>
            <w:r>
              <w:rPr>
                <w:rFonts w:hint="eastAsia" w:ascii="宋体" w:hAnsi="宋体" w:cs="宋体"/>
                <w:color w:val="auto"/>
                <w:highlight w:val="none"/>
              </w:rPr>
              <w:t xml:space="preserve">6</w:t>
            </w:r>
            <w:r/>
          </w:p>
        </w:tc>
        <w:tc>
          <w:tcPr>
            <w:tcW w:w="900"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269"/>
        </w:trPr>
        <w:tc>
          <w:tcPr>
            <w:gridSpan w:val="5"/>
            <w:tcW w:w="9575" w:type="dxa"/>
            <w:vAlign w:val="top"/>
            <w:textDirection w:val="lrTb"/>
            <w:noWrap w:val="false"/>
          </w:tcPr>
          <w:p>
            <w:pPr>
              <w:spacing w:before="123"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5.1</w:t>
            </w:r>
            <w:r/>
          </w:p>
        </w:tc>
        <w:tc>
          <w:tcPr>
            <w:tcW w:w="1179"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履约能力1</w:t>
            </w:r>
            <w:r/>
          </w:p>
        </w:tc>
        <w:tc>
          <w:tcPr>
            <w:tcW w:w="6330"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投标人应具有副高级</w:t>
            </w:r>
            <w:r>
              <w:rPr>
                <w:rFonts w:hint="eastAsia" w:ascii="宋体" w:hAnsi="宋体" w:cs="宋体"/>
                <w:color w:val="auto"/>
                <w:highlight w:val="none"/>
              </w:rPr>
              <w:t xml:space="preserve">及</w:t>
            </w:r>
            <w:r>
              <w:rPr>
                <w:rFonts w:hint="eastAsia" w:ascii="宋体" w:hAnsi="宋体" w:cs="宋体"/>
                <w:color w:val="auto"/>
                <w:highlight w:val="none"/>
              </w:rPr>
              <w:t xml:space="preserve">以上职称的技术人员（包括但不限于高级工程师、副研究员等），每人得0.5分，最高不超过2分；提供职称证书或具备职称评定资质的单位授予其职称的相关证明，以及投标人2025年1月以来任意一个月为其缴纳社保的证明。</w:t>
            </w:r>
            <w:r/>
          </w:p>
        </w:tc>
        <w:tc>
          <w:tcPr>
            <w:tcW w:w="64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900"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5.2</w:t>
            </w:r>
            <w:r/>
          </w:p>
        </w:tc>
        <w:tc>
          <w:tcPr>
            <w:tcW w:w="1179" w:type="dxa"/>
            <w:vAlign w:val="center"/>
            <w:textDirection w:val="lrTb"/>
            <w:noWrap w:val="false"/>
          </w:tcPr>
          <w:p>
            <w:pP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履约能力2</w:t>
            </w:r>
            <w:r/>
          </w:p>
        </w:tc>
        <w:tc>
          <w:tcPr>
            <w:tcW w:w="6330"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提供宽带天线阵列、宽带平面波生成</w:t>
            </w:r>
            <w:bookmarkStart w:id="213" w:name="OLE_LINK3"/>
            <w:r>
              <w:rPr>
                <w:rFonts w:hint="eastAsia" w:ascii="宋体" w:hAnsi="宋体" w:cs="宋体"/>
                <w:color w:val="auto"/>
                <w:highlight w:val="none"/>
              </w:rPr>
              <w:t xml:space="preserve">、</w:t>
            </w:r>
            <w:bookmarkEnd w:id="213"/>
            <w:r>
              <w:rPr>
                <w:rFonts w:hint="eastAsia" w:ascii="宋体" w:hAnsi="宋体" w:cs="宋体"/>
                <w:color w:val="auto"/>
                <w:highlight w:val="none"/>
              </w:rPr>
              <w:t xml:space="preserve">并行无线测试相关领域发明专利证书，由国家知识产权局颁发；每提供一个得0.5分，最高不超过2分。</w:t>
            </w:r>
            <w:r/>
          </w:p>
          <w:p>
            <w:pPr>
              <w:spacing w:line="264" w:lineRule="auto"/>
              <w:rPr>
                <w:rFonts w:hint="eastAsia" w:ascii="宋体" w:hAnsi="宋体" w:cs="宋体"/>
                <w:color w:val="auto"/>
                <w:highlight w:val="none"/>
              </w:rPr>
            </w:pPr>
            <w:r>
              <w:rPr>
                <w:rFonts w:hint="eastAsia" w:ascii="宋体" w:hAnsi="宋体" w:eastAsia="宋体" w:cs="宋体"/>
                <w:color w:val="auto"/>
                <w:szCs w:val="22"/>
                <w:highlight w:val="none"/>
                <w:shd w:val="clear" w:color="auto" w:fill="auto"/>
              </w:rPr>
              <w:t xml:space="preserve">所提供证书的专利名称与评分细则规定不同时，应提供符合上述要求的内容（功能）说明及关键信息，否则不予认可。</w:t>
            </w:r>
            <w:r/>
          </w:p>
        </w:tc>
        <w:tc>
          <w:tcPr>
            <w:tcW w:w="647"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900"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auto"/>
                <w:highlight w:val="none"/>
              </w:rPr>
            </w:pPr>
            <w:r>
              <w:rPr>
                <w:rFonts w:hint="eastAsia" w:ascii="宋体" w:hAnsi="宋体" w:cs="宋体"/>
                <w:color w:val="auto"/>
                <w:spacing w:val="-3"/>
                <w:highlight w:val="none"/>
              </w:rPr>
              <w:t xml:space="preserve">合</w:t>
            </w:r>
            <w:r>
              <w:rPr>
                <w:rFonts w:hint="eastAsia" w:ascii="宋体" w:hAnsi="宋体" w:cs="宋体"/>
                <w:color w:val="auto"/>
                <w:spacing w:val="-2"/>
                <w:highlight w:val="none"/>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auto"/>
                <w:spacing w:val="-2"/>
                <w:highlight w:val="none"/>
              </w:rPr>
            </w:pPr>
            <w:r>
              <w:rPr>
                <w:rFonts w:hint="eastAsia" w:ascii="宋体" w:hAnsi="宋体" w:cs="宋体"/>
                <w:color w:val="auto"/>
                <w:spacing w:val="-2"/>
                <w:highlight w:val="none"/>
              </w:rPr>
            </w:r>
            <w:r/>
          </w:p>
        </w:tc>
        <w:tc>
          <w:tcPr>
            <w:gridSpan w:val="2"/>
            <w:tcW w:w="1547" w:type="dxa"/>
            <w:vAlign w:val="center"/>
            <w:textDirection w:val="lrTb"/>
            <w:noWrap w:val="false"/>
          </w:tcPr>
          <w:p>
            <w:pPr>
              <w:jc w:val="center"/>
              <w:spacing w:line="264" w:lineRule="auto"/>
              <w:rPr>
                <w:rFonts w:hint="eastAsia" w:ascii="宋体" w:hAnsi="宋体" w:cs="宋体"/>
                <w:color w:val="auto"/>
                <w:highlight w:val="none"/>
              </w:rPr>
            </w:pPr>
            <w:r>
              <w:rPr>
                <w:rFonts w:hint="eastAsia" w:ascii="宋体" w:hAnsi="宋体" w:cs="宋体"/>
                <w:color w:val="auto"/>
                <w:spacing w:val="-11"/>
                <w:highlight w:val="none"/>
              </w:rPr>
              <w:t xml:space="preserve">100分</w:t>
            </w:r>
            <w:r/>
          </w:p>
        </w:tc>
      </w:tr>
    </w:tbl>
    <w:p>
      <w:pPr>
        <w:spacing w:line="264" w:lineRule="auto"/>
        <w:rPr>
          <w:rFonts w:hint="eastAsia" w:ascii="宋体" w:hAnsi="宋体" w:cs="宋体"/>
          <w:b/>
          <w:bCs/>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b/>
          <w:bCs/>
          <w:color w:val="auto"/>
          <w:sz w:val="24"/>
          <w:szCs w:val="24"/>
          <w:highlight w:val="none"/>
        </w:rPr>
      </w:r>
      <w:r/>
    </w:p>
    <w:p>
      <w:pPr>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rPr>
        <w:t xml:space="preserve">投标</w:t>
      </w:r>
      <w:bookmarkEnd w:id="193"/>
      <w:r/>
      <w:bookmarkEnd w:id="194"/>
      <w:r/>
      <w:bookmarkEnd w:id="209"/>
      <w:r>
        <w:rPr>
          <w:rFonts w:hint="eastAsia" w:ascii="方正小标宋简体" w:hAnsi="方正小标宋简体" w:eastAsia="方正小标宋简体" w:cs="方正小标宋简体"/>
          <w:color w:val="auto"/>
          <w:sz w:val="36"/>
          <w:szCs w:val="36"/>
          <w:highlight w:val="none"/>
        </w:rPr>
        <w:t xml:space="preserve">文件格式 </w:t>
      </w:r>
      <w:r/>
    </w:p>
    <w:p>
      <w:pPr>
        <w:jc w:val="center"/>
        <w:rPr>
          <w:rFonts w:hint="eastAsia" w:ascii="宋体" w:hAnsi="宋体"/>
          <w:b/>
          <w:color w:val="auto"/>
          <w:sz w:val="72"/>
          <w:szCs w:val="21"/>
          <w:highlight w:val="none"/>
        </w:rPr>
      </w:pPr>
      <w:r/>
      <w:bookmarkStart w:id="214" w:name="_Hlt26671244"/>
      <w:r/>
      <w:bookmarkEnd w:id="214"/>
      <w:r/>
      <w:bookmarkStart w:id="215" w:name="_Hlt26955039"/>
      <w:r/>
      <w:bookmarkEnd w:id="215"/>
      <w:r/>
      <w:bookmarkStart w:id="216" w:name="_Toc26554094"/>
      <w:r/>
      <w:bookmarkStart w:id="217" w:name="_Toc120614282"/>
      <w:r/>
      <w:bookmarkStart w:id="218"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color w:val="auto"/>
          <w:highlight w:val="none"/>
        </w:rPr>
      </w:pPr>
      <w:r>
        <w:rPr>
          <w:rFonts w:ascii="宋体" w:hAnsi="宋体"/>
          <w:b/>
          <w:color w:val="auto"/>
          <w:sz w:val="36"/>
          <w:szCs w:val="21"/>
          <w:highlight w:val="none"/>
          <w:u w:val="single"/>
        </w:rPr>
        <w:br w:type="page" w:clear="all"/>
      </w:r>
      <w:bookmarkEnd w:id="190"/>
      <w:r/>
      <w:bookmarkEnd w:id="191"/>
      <w:r/>
      <w:bookmarkEnd w:id="216"/>
      <w:r/>
      <w:bookmarkEnd w:id="217"/>
      <w:r/>
      <w:bookmarkEnd w:id="218"/>
      <w:r>
        <w:rPr>
          <w:rFonts w:hint="eastAsia" w:ascii="方正小标宋简体" w:hAnsi="方正小标宋简体" w:eastAsia="方正小标宋简体" w:cs="方正小标宋简体"/>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bookmarkStart w:id="219"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十二、联合体协议（如有）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93"/>
        <w:rPr>
          <w:color w:val="auto"/>
          <w:sz w:val="24"/>
          <w:highlight w:val="none"/>
        </w:rPr>
      </w:pPr>
      <w:r>
        <w:rPr>
          <w:color w:val="auto"/>
          <w:sz w:val="24"/>
          <w:highlight w:val="none"/>
        </w:rPr>
      </w:r>
      <w:r/>
    </w:p>
    <w:p>
      <w:pPr>
        <w:pStyle w:val="993"/>
        <w:rPr>
          <w:color w:val="auto"/>
          <w:sz w:val="24"/>
          <w:highlight w:val="none"/>
        </w:rPr>
      </w:pPr>
      <w:r>
        <w:rPr>
          <w:color w:val="auto"/>
          <w:sz w:val="24"/>
          <w:highlight w:val="none"/>
        </w:rPr>
      </w:r>
      <w:r/>
    </w:p>
    <w:p>
      <w:pPr>
        <w:pStyle w:val="993"/>
        <w:rPr>
          <w:color w:val="auto"/>
          <w:sz w:val="24"/>
          <w:highlight w:val="none"/>
        </w:rPr>
      </w:pPr>
      <w:r>
        <w:rPr>
          <w:color w:val="auto"/>
          <w:sz w:val="24"/>
          <w:highlight w:val="none"/>
        </w:rPr>
      </w:r>
      <w:r/>
    </w:p>
    <w:p>
      <w:pPr>
        <w:pStyle w:val="993"/>
        <w:rPr>
          <w:color w:val="auto"/>
          <w:sz w:val="24"/>
          <w:highlight w:val="none"/>
        </w:rPr>
      </w:pPr>
      <w:r>
        <w:rPr>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color w:val="auto"/>
          <w:highlight w:val="none"/>
        </w:rPr>
      </w:pPr>
      <w:r>
        <w:rPr>
          <w:rFonts w:hint="eastAsia"/>
          <w:color w:val="auto"/>
          <w:highlight w:val="none"/>
        </w:rPr>
        <w:br w:type="page" w:clear="all"/>
      </w:r>
      <w:r/>
    </w:p>
    <w:p>
      <w:pPr>
        <w:pStyle w:val="882"/>
        <w:jc w:val="left"/>
        <w:rPr>
          <w:rFonts w:hint="eastAsia"/>
          <w:color w:val="auto"/>
          <w:highlight w:val="none"/>
        </w:rPr>
      </w:pPr>
      <w:r>
        <w:rPr>
          <w:rFonts w:hint="eastAsia"/>
          <w:color w:val="auto"/>
          <w:highlight w:val="none"/>
        </w:rPr>
        <w:t xml:space="preserve">一、供应商信用承诺函</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供应商信用承诺函</w:t>
      </w:r>
      <w:r/>
    </w:p>
    <w:p>
      <w:pPr>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南京市公共资源交易中心：</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（供应商名称）郑重承诺：</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eastAsia="宋体" w:cs="Times New Roman"/>
          <w:color w:val="auto"/>
          <w:sz w:val="24"/>
          <w:szCs w:val="24"/>
          <w:highlight w:val="none"/>
          <w:lang w:val="en-US" w:eastAsia="zh-CN"/>
        </w:rPr>
        <w:t xml:space="preserve">或其他证明材料</w:t>
      </w:r>
      <w:r>
        <w:rPr>
          <w:rFonts w:hint="eastAsia" w:ascii="宋体" w:hAnsi="宋体"/>
          <w:color w:val="auto"/>
          <w:sz w:val="24"/>
          <w:szCs w:val="24"/>
          <w:highlight w:val="none"/>
        </w:rPr>
        <w:t xml:space="preserve">；</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94"/>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color w:val="auto"/>
          <w:highlight w:val="none"/>
        </w:rPr>
      </w:pPr>
      <w:r>
        <w:rPr>
          <w:rFonts w:hint="eastAsia"/>
          <w:color w:val="auto"/>
          <w:highlight w:val="none"/>
        </w:rPr>
        <w:br w:type="page" w:clear="all"/>
      </w:r>
      <w:r/>
    </w:p>
    <w:p>
      <w:pPr>
        <w:pStyle w:val="882"/>
        <w:jc w:val="left"/>
        <w:rPr>
          <w:rFonts w:hint="eastAsia"/>
          <w:color w:val="auto"/>
          <w:highlight w:val="none"/>
        </w:rPr>
      </w:pPr>
      <w:r>
        <w:rPr>
          <w:rFonts w:hint="eastAsia"/>
          <w:color w:val="auto"/>
          <w:highlight w:val="none"/>
        </w:rPr>
        <w:t xml:space="preserve">二、满足特定资格要求的证明文件</w:t>
      </w:r>
      <w:r/>
    </w:p>
    <w:p>
      <w:pPr>
        <w:pStyle w:val="964"/>
        <w:ind w:firstLine="480"/>
        <w:rPr>
          <w:rFonts w:hint="eastAsia"/>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995"/>
        <w:rPr>
          <w:rFonts w:hint="eastAsia"/>
          <w:color w:val="auto"/>
          <w:highlight w:val="none"/>
          <w:lang w:eastAsia="zh-CN"/>
        </w:rPr>
      </w:pPr>
      <w:r>
        <w:rPr>
          <w:rFonts w:hint="eastAsia"/>
          <w:color w:val="auto"/>
          <w:highlight w:val="none"/>
          <w:lang w:eastAsia="zh-CN"/>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Style w:val="882"/>
        <w:jc w:val="left"/>
        <w:rPr>
          <w:rFonts w:hint="eastAsia"/>
          <w:color w:val="auto"/>
          <w:highlight w:val="none"/>
        </w:rPr>
      </w:pPr>
      <w:r>
        <w:rPr>
          <w:rFonts w:hint="eastAsia"/>
          <w:color w:val="auto"/>
          <w:highlight w:val="none"/>
        </w:rPr>
        <w:t xml:space="preserve">三、法人授权书</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法人授权书</w:t>
      </w:r>
      <w:r/>
    </w:p>
    <w:p>
      <w:pPr>
        <w:pStyle w:val="964"/>
        <w:ind w:firstLine="480"/>
        <w:spacing w:line="420" w:lineRule="exact"/>
        <w:rPr>
          <w:rFonts w:hint="eastAsia"/>
          <w:color w:val="auto"/>
          <w:sz w:val="24"/>
          <w:szCs w:val="24"/>
          <w:highlight w:val="none"/>
        </w:rPr>
      </w:pPr>
      <w:r>
        <w:rPr>
          <w:rFonts w:hint="eastAsia"/>
          <w:color w:val="auto"/>
          <w:sz w:val="24"/>
          <w:szCs w:val="24"/>
          <w:highlight w:val="none"/>
        </w:rPr>
      </w:r>
      <w:r/>
    </w:p>
    <w:p>
      <w:pPr>
        <w:pStyle w:val="964"/>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964"/>
        <w:ind w:firstLine="480"/>
        <w:spacing w:line="480" w:lineRule="exact"/>
        <w:rPr>
          <w:rFonts w:hint="eastAsia"/>
          <w:color w:val="auto"/>
          <w:sz w:val="24"/>
          <w:szCs w:val="24"/>
          <w:highlight w:val="none"/>
        </w:rPr>
      </w:pPr>
      <w:r>
        <w:rPr>
          <w:rFonts w:hint="eastAsia"/>
          <w:color w:val="auto"/>
          <w:sz w:val="24"/>
          <w:szCs w:val="24"/>
          <w:highlight w:val="none"/>
        </w:rPr>
        <w:t xml:space="preserve">本授权书自______年____月____日起生效，特此声明。</w:t>
      </w:r>
      <w:r/>
    </w:p>
    <w:p>
      <w:pPr>
        <w:pStyle w:val="964"/>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964"/>
        <w:ind w:firstLine="480"/>
        <w:spacing w:line="480" w:lineRule="exact"/>
        <w:rPr>
          <w:rFonts w:hint="eastAsia"/>
          <w:color w:val="auto"/>
          <w:sz w:val="24"/>
          <w:szCs w:val="24"/>
          <w:highlight w:val="none"/>
          <w:u w:val="single"/>
        </w:rPr>
      </w:pPr>
      <w:r>
        <w:rPr>
          <w:rFonts w:hint="eastAsia"/>
          <w:color w:val="auto"/>
          <w:sz w:val="24"/>
          <w:szCs w:val="24"/>
          <w:highlight w:val="none"/>
        </w:rPr>
        <w:t xml:space="preserve">被授权人联系电话：（手机）</w:t>
      </w:r>
      <w:r/>
    </w:p>
    <w:p>
      <w:pPr>
        <w:pStyle w:val="964"/>
        <w:ind w:firstLine="480"/>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64"/>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964"/>
        <w:ind w:firstLine="480"/>
        <w:spacing w:line="480" w:lineRule="exact"/>
        <w:rPr>
          <w:rFonts w:hint="eastAsia"/>
          <w:color w:val="auto"/>
          <w:sz w:val="24"/>
          <w:szCs w:val="24"/>
          <w:highlight w:val="none"/>
        </w:rPr>
      </w:pPr>
      <w:r>
        <w:rPr>
          <w:rFonts w:hint="eastAsia"/>
          <w:color w:val="auto"/>
          <w:sz w:val="24"/>
          <w:szCs w:val="24"/>
          <w:highlight w:val="none"/>
        </w:rPr>
        <w:t xml:space="preserve">日    期：</w:t>
      </w:r>
      <w:bookmarkStart w:id="220" w:name="_Hlt26671380"/>
      <w:r/>
      <w:bookmarkEnd w:id="220"/>
      <w:r/>
      <w:bookmarkStart w:id="221" w:name="_格式3__银行出具的资信证明"/>
      <w:r/>
      <w:bookmarkEnd w:id="221"/>
      <w:r/>
      <w:bookmarkStart w:id="222" w:name="_Hlt26955070"/>
      <w:r/>
      <w:bookmarkEnd w:id="222"/>
      <w:r/>
      <w:r/>
    </w:p>
    <w:p>
      <w:pPr>
        <w:pStyle w:val="881"/>
        <w:rPr>
          <w:rFonts w:hint="eastAsia"/>
          <w:i/>
          <w:color w:val="auto"/>
          <w:sz w:val="24"/>
          <w:szCs w:val="24"/>
          <w:highlight w:val="none"/>
          <w:u w:val="single"/>
        </w:rPr>
      </w:pPr>
      <w:r>
        <w:rPr>
          <w:rFonts w:hint="eastAsia"/>
          <w:i/>
          <w:color w:val="auto"/>
          <w:sz w:val="24"/>
          <w:szCs w:val="24"/>
          <w:highlight w:val="none"/>
          <w:u w:val="single"/>
        </w:rPr>
      </w:r>
      <w:r/>
    </w:p>
    <w:p>
      <w:pPr>
        <w:pStyle w:val="881"/>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rPr>
          <w:rFonts w:hint="eastAsia"/>
          <w:color w:val="auto"/>
          <w:highlight w:val="none"/>
        </w:rPr>
      </w:pPr>
      <w:r>
        <w:rPr>
          <w:rFonts w:hint="eastAsia"/>
          <w:color w:val="auto"/>
          <w:highlight w:val="none"/>
        </w:rPr>
        <w:br w:type="page" w:clear="all"/>
      </w:r>
      <w:r/>
    </w:p>
    <w:p>
      <w:pPr>
        <w:pStyle w:val="882"/>
        <w:jc w:val="left"/>
        <w:rPr>
          <w:rFonts w:hint="eastAsia"/>
          <w:color w:val="auto"/>
          <w:highlight w:val="none"/>
        </w:rPr>
      </w:pPr>
      <w:r>
        <w:rPr>
          <w:rFonts w:hint="eastAsia"/>
          <w:color w:val="auto"/>
          <w:highlight w:val="none"/>
        </w:rPr>
        <w:t xml:space="preserve">四、投标函</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投标函</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致：南京市公共资源交易中心</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66"/>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66"/>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6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6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6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66"/>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66"/>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pStyle w:val="947"/>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882"/>
        <w:jc w:val="left"/>
        <w:rPr>
          <w:rFonts w:hint="eastAsia"/>
          <w:color w:val="auto"/>
          <w:highlight w:val="none"/>
        </w:rPr>
      </w:pPr>
      <w:r>
        <w:rPr>
          <w:rFonts w:hint="eastAsia"/>
          <w:color w:val="auto"/>
          <w:highlight w:val="none"/>
        </w:rPr>
        <w:t xml:space="preserve">五、开标一览表</w:t>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69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ind w:firstLine="482"/>
        <w:spacing w:line="480" w:lineRule="exact"/>
        <w:rPr>
          <w:rFonts w:hint="eastAsia" w:ascii="宋体" w:hAnsi="宋体" w:eastAsia="宋体" w:cs="Times New Roman"/>
          <w:b/>
          <w:bCs/>
          <w:i w:val="0"/>
          <w:color w:val="auto"/>
          <w:sz w:val="24"/>
          <w:szCs w:val="24"/>
          <w:highlight w:val="none"/>
          <w:u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highlight w:val="none"/>
          <w:lang w:val="zh-CN"/>
        </w:rPr>
        <w:t xml:space="preserve">报价</w:t>
      </w:r>
      <w:r>
        <w:rPr>
          <w:rFonts w:hint="eastAsia" w:ascii="宋体" w:hAnsi="宋体" w:eastAsia="宋体"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ascii="宋体" w:hAnsi="宋体" w:eastAsia="宋体" w:cs="Times New Roman"/>
          <w:b/>
          <w:bCs/>
          <w:color w:val="auto"/>
          <w:sz w:val="24"/>
          <w:szCs w:val="24"/>
          <w:highlight w:val="none"/>
          <w:lang w:val="en-US" w:eastAsia="zh-CN"/>
        </w:rPr>
        <w:t xml:space="preserve">评委会将启动异常低价投标审查机制，投标人应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color w:val="auto"/>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color w:val="auto"/>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color w:val="auto"/>
          <w:highlight w:val="none"/>
        </w:rPr>
      </w:pPr>
      <w:r>
        <w:rPr>
          <w:color w:val="auto"/>
          <w:highlight w:val="none"/>
        </w:rPr>
      </w:r>
      <w:r/>
    </w:p>
    <w:p>
      <w:pPr>
        <w:pStyle w:val="947"/>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核心产品</w:t>
      </w:r>
      <w:r>
        <w:rPr>
          <w:rFonts w:hint="eastAsia" w:ascii="方正小标宋简体" w:hAnsi="方正小标宋简体" w:eastAsia="方正小标宋简体" w:cs="方正小标宋简体"/>
          <w:color w:val="auto"/>
          <w:sz w:val="32"/>
          <w:szCs w:val="32"/>
          <w:highlight w:val="none"/>
          <w:lang w:val="en-US" w:eastAsia="zh-CN"/>
        </w:rPr>
        <w:t xml:space="preserve">品牌</w:t>
      </w:r>
      <w:r>
        <w:rPr>
          <w:rFonts w:hint="eastAsia" w:ascii="方正小标宋简体" w:hAnsi="方正小标宋简体" w:eastAsia="方正小标宋简体" w:cs="方正小标宋简体"/>
          <w:color w:val="auto"/>
          <w:sz w:val="32"/>
          <w:szCs w:val="32"/>
          <w:highlight w:val="none"/>
          <w:lang w:val="en-US"/>
        </w:rPr>
        <w:t xml:space="preserve">一览表</w:t>
      </w:r>
      <w:r/>
    </w:p>
    <w:tbl>
      <w:tblPr>
        <w:tblStyle w:val="699"/>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default" w:ascii="宋体" w:hAnsi="宋体" w:eastAsia="宋体" w:cs="宋体"/>
                <w:color w:val="auto"/>
                <w:sz w:val="21"/>
                <w:szCs w:val="21"/>
                <w:highlight w:val="none"/>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Borders>
              <w:left w:val="single" w:color="auto" w:sz="4" w:space="0"/>
              <w:right w:val="single" w:color="auto" w:sz="4" w:space="0"/>
            </w:tcBorders>
            <w:tcW w:w="2601"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r>
    </w:tbl>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lang w:val="zh-CN" w:eastAsia="zh-CN"/>
        </w:rPr>
        <w:t xml:space="preserve">名称：（</w:t>
      </w:r>
      <w:r>
        <w:rPr>
          <w:rFonts w:hint="eastAsia" w:ascii="宋体" w:hAnsi="宋体" w:eastAsia="宋体" w:cs="Times New Roman"/>
          <w:color w:val="auto"/>
          <w:sz w:val="24"/>
          <w:szCs w:val="24"/>
          <w:highlight w:val="none"/>
          <w:lang w:eastAsia="zh-CN"/>
        </w:rPr>
        <w:t xml:space="preserve">加盖电子</w:t>
      </w:r>
      <w:r>
        <w:rPr>
          <w:rFonts w:hint="eastAsia" w:ascii="宋体" w:hAnsi="宋体" w:eastAsia="宋体" w:cs="Times New Roman"/>
          <w:color w:val="auto"/>
          <w:sz w:val="24"/>
          <w:szCs w:val="24"/>
          <w:highlight w:val="none"/>
          <w:lang w:val="en-US" w:eastAsia="zh-CN"/>
        </w:rPr>
        <w:t xml:space="preserve">公</w:t>
      </w:r>
      <w:r>
        <w:rPr>
          <w:rFonts w:hint="eastAsia" w:ascii="宋体" w:hAnsi="宋体" w:eastAsia="宋体" w:cs="Times New Roman"/>
          <w:color w:val="auto"/>
          <w:sz w:val="24"/>
          <w:szCs w:val="24"/>
          <w:highlight w:val="none"/>
          <w:lang w:eastAsia="zh-CN"/>
        </w:rPr>
        <w:t xml:space="preserve">章</w:t>
      </w:r>
      <w:r>
        <w:rPr>
          <w:rFonts w:hint="eastAsia" w:ascii="宋体" w:hAnsi="宋体" w:eastAsia="宋体" w:cs="Times New Roman"/>
          <w:color w:val="auto"/>
          <w:sz w:val="24"/>
          <w:szCs w:val="24"/>
          <w:highlight w:val="none"/>
          <w:lang w:val="zh-CN" w:eastAsia="zh-CN"/>
        </w:rPr>
        <w:t xml:space="preserve">）</w:t>
      </w:r>
      <w:r/>
    </w:p>
    <w:p>
      <w:pPr>
        <w:ind w:firstLine="482"/>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rPr>
        <w:t xml:space="preserve">供应商</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tbl>
      <w:tblPr>
        <w:tblStyle w:val="699"/>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210"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产品</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29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72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72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3.供应商所投产品须与“第四章-项目清单”中的产品一一对应，如有缺项、漏项或者超出单价上限，视为无效投标。“项目清单”中分项仅为一项的，此表无需提供。</w:t>
      </w:r>
      <w:r/>
    </w:p>
    <w:p>
      <w:pPr>
        <w:pStyle w:val="72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4.行数不够，可自行添加。</w:t>
      </w:r>
      <w:r/>
    </w:p>
    <w:p>
      <w:pPr>
        <w:spacing w:line="480" w:lineRule="exact"/>
        <w:rPr>
          <w:rFonts w:hint="default" w:ascii="宋体" w:hAnsi="宋体"/>
          <w:color w:val="auto"/>
          <w:sz w:val="24"/>
          <w:szCs w:val="24"/>
          <w:highlight w:val="none"/>
          <w:lang w:eastAsia="zh-CN"/>
        </w:rPr>
      </w:pPr>
      <w:r>
        <w:rPr>
          <w:rFonts w:hint="default" w:ascii="宋体" w:hAnsi="宋体"/>
          <w:color w:val="auto"/>
          <w:sz w:val="24"/>
          <w:szCs w:val="24"/>
          <w:highlight w:val="none"/>
          <w:lang w:eastAsia="zh-CN"/>
        </w:rPr>
      </w:r>
      <w:r/>
    </w:p>
    <w:p>
      <w:pPr>
        <w:rPr>
          <w:rFonts w:hint="default" w:ascii="宋体" w:hAnsi="宋体"/>
          <w:color w:val="auto"/>
          <w:sz w:val="24"/>
          <w:szCs w:val="24"/>
          <w:highlight w:val="none"/>
          <w:lang w:eastAsia="zh-CN"/>
        </w:rPr>
      </w:pPr>
      <w:r>
        <w:rPr>
          <w:rFonts w:hint="default" w:ascii="宋体" w:hAnsi="宋体"/>
          <w:color w:val="auto"/>
          <w:sz w:val="24"/>
          <w:szCs w:val="24"/>
          <w:highlight w:val="none"/>
          <w:lang w:eastAsia="zh-CN"/>
        </w:rPr>
      </w:r>
      <w:r/>
    </w:p>
    <w:p>
      <w:pPr>
        <w:rPr>
          <w:rFonts w:hint="default" w:ascii="宋体" w:hAnsi="宋体"/>
          <w:color w:val="auto"/>
          <w:sz w:val="24"/>
          <w:szCs w:val="24"/>
          <w:highlight w:val="none"/>
          <w:lang w:eastAsia="zh-CN"/>
        </w:rPr>
      </w:pPr>
      <w:r>
        <w:rPr>
          <w:rFonts w:hint="default" w:ascii="宋体" w:hAnsi="宋体"/>
          <w:color w:val="auto"/>
          <w:sz w:val="24"/>
          <w:szCs w:val="24"/>
          <w:highlight w:val="none"/>
          <w:lang w:eastAsia="zh-CN"/>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722"/>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722"/>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1.供应商须对招标文件技术要求中的实质性要求（斜体下划线内容或打“★”内容）及其他要求做出明确响应，否则视为无效投标。</w:t>
      </w:r>
      <w:r/>
    </w:p>
    <w:p>
      <w:pPr>
        <w:pStyle w:val="72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72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2"/>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1.供应商须对招标文件商务要求中的实质性要求（斜体下划线内容或打“★”内容）做出明确响应，否则视为无效投标。</w:t>
      </w:r>
      <w:r/>
    </w:p>
    <w:p>
      <w:pPr>
        <w:pStyle w:val="722"/>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pStyle w:val="955"/>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，提供的货物</w:t>
      </w:r>
      <w:r>
        <w:rPr>
          <w:rFonts w:hint="eastAsia" w:ascii="宋体" w:hAnsi="宋体" w:eastAsia="宋体" w:cs="Times New Roman"/>
          <w:color w:val="auto"/>
          <w:sz w:val="24"/>
          <w:szCs w:val="24"/>
          <w:highlight w:val="none"/>
        </w:rPr>
        <w:t xml:space="preserve">全部由符合政策</w:t>
      </w:r>
      <w:r>
        <w:rPr>
          <w:rFonts w:hint="eastAsia" w:ascii="宋体" w:hAnsi="宋体" w:eastAsia="宋体" w:cs="Times New Roman"/>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955"/>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36"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36"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4.货物</w:t>
      </w:r>
      <w:r>
        <w:rPr>
          <w:rFonts w:hint="eastAsia" w:ascii="宋体" w:hAnsi="宋体" w:eastAsia="宋体" w:cs="Times New Roman"/>
          <w:color w:val="auto"/>
          <w:sz w:val="24"/>
          <w:szCs w:val="24"/>
          <w:highlight w:val="none"/>
          <w:lang w:eastAsia="zh-CN"/>
        </w:rPr>
        <w:t xml:space="preserve">采购项目中，货物的制造商应当为中小企业</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，不对其中涉及的服务的承接商、工程的承建商作出要求。</w:t>
      </w:r>
      <w:r/>
    </w:p>
    <w:p>
      <w:pPr>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val="0"/>
          <w:color w:val="auto"/>
          <w:sz w:val="32"/>
          <w:szCs w:val="32"/>
          <w:highlight w:val="none"/>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55"/>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val="en-US" w:eastAsia="zh-CN"/>
        </w:rPr>
        <w:t xml:space="preserve">作</w:t>
      </w:r>
      <w:r>
        <w:rPr>
          <w:rFonts w:hint="eastAsia" w:ascii="宋体" w:hAnsi="宋体"/>
          <w:color w:val="auto"/>
          <w:sz w:val="24"/>
          <w:highlight w:val="none"/>
        </w:rPr>
        <w:t xml:space="preserve">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993"/>
        <w:rPr>
          <w:color w:val="auto"/>
          <w:highlight w:val="none"/>
        </w:rPr>
      </w:pPr>
      <w:r>
        <w:rPr>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br w:type="page" w:clear="all"/>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spacing w:line="480" w:lineRule="exact"/>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r>
      <w:r/>
    </w:p>
    <w:p>
      <w:pPr>
        <w:pStyle w:val="947"/>
        <w:ind w:firstLine="480"/>
        <w:rPr>
          <w:rFonts w:hint="eastAsia"/>
          <w:color w:val="auto"/>
          <w:sz w:val="24"/>
          <w:highlight w:val="none"/>
        </w:rPr>
      </w:pPr>
      <w:r>
        <w:rPr>
          <w:rFonts w:hint="eastAsia"/>
          <w:color w:val="auto"/>
          <w:sz w:val="24"/>
          <w:highlight w:val="none"/>
        </w:rPr>
      </w:r>
      <w:r/>
    </w:p>
    <w:p>
      <w:pPr>
        <w:rPr>
          <w:rFonts w:hint="eastAsia"/>
          <w:color w:val="auto"/>
          <w:highlight w:val="none"/>
        </w:rPr>
      </w:pPr>
      <w:r>
        <w:rPr>
          <w:rFonts w:hint="eastAsia"/>
          <w:color w:val="auto"/>
          <w:highlight w:val="none"/>
        </w:rPr>
      </w:r>
      <w:bookmarkEnd w:id="219"/>
      <w:r/>
      <w:r/>
    </w:p>
    <w:p>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p>
    <w:p>
      <w:pPr>
        <w:jc w:val="cente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分包号：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２５</w:t>
    </w:r>
    <w:r>
      <w:rPr>
        <w:rFonts w:ascii="宋体" w:hAnsi="宋体"/>
      </w:rPr>
      <w:fldChar w:fldCharType="end"/>
    </w:r>
    <w:r/>
  </w:p>
  <w:p>
    <w:pPr>
      <w:pStyle w:val="92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3">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3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2"/>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3"/>
    <w:link w:val="733"/>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3"/>
    <w:link w:val="73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9"/>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0"/>
    <w:qFormat/>
    <w:pPr>
      <w:ind w:left="0" w:firstLine="420"/>
      <w:spacing w:after="0" w:line="360" w:lineRule="auto"/>
    </w:pPr>
    <w:rPr>
      <w:rFonts w:ascii="宋体" w:hAnsi="宋体" w:eastAsia="宋体" w:cs="Times New Roman"/>
      <w:szCs w:val="20"/>
    </w:rPr>
  </w:style>
  <w:style w:type="paragraph" w:styleId="701">
    <w:name w:val="Body Text Indent"/>
    <w:basedOn w:val="688"/>
    <w:next w:val="702"/>
    <w:uiPriority w:val="0"/>
    <w:unhideWhenUsed/>
    <w:qFormat/>
    <w:pPr>
      <w:ind w:left="420"/>
      <w:spacing w:after="120"/>
    </w:pPr>
  </w:style>
  <w:style w:type="paragraph" w:styleId="702">
    <w:name w:val="envelope return"/>
    <w:basedOn w:val="688"/>
    <w:uiPriority w:val="0"/>
    <w:qFormat/>
    <w:rPr>
      <w:rFonts w:ascii="Arial" w:hAnsi="Arial" w:eastAsia="宋体" w:cs="宋体"/>
    </w:rPr>
  </w:style>
  <w:style w:type="paragraph" w:styleId="703">
    <w:name w:val="Normal Indent"/>
    <w:basedOn w:val="688"/>
    <w:uiPriority w:val="0"/>
    <w:pPr>
      <w:ind w:firstLine="420"/>
    </w:pPr>
    <w:rPr>
      <w:szCs w:val="21"/>
    </w:rPr>
  </w:style>
  <w:style w:type="paragraph" w:styleId="704">
    <w:name w:val="toc 7"/>
    <w:basedOn w:val="688"/>
    <w:next w:val="688"/>
    <w:uiPriority w:val="39"/>
    <w:unhideWhenUsed/>
    <w:qFormat/>
    <w:pPr>
      <w:ind w:left="1701" w:right="0" w:firstLine="0"/>
      <w:spacing w:after="57"/>
    </w:pPr>
  </w:style>
  <w:style w:type="paragraph" w:styleId="705">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88"/>
    <w:uiPriority w:val="99"/>
    <w:semiHidden/>
    <w:unhideWhenUsed/>
    <w:qFormat/>
    <w:pPr>
      <w:jc w:val="left"/>
    </w:p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Plain Text"/>
    <w:basedOn w:val="688"/>
    <w:uiPriority w:val="0"/>
    <w:qFormat/>
    <w:rPr>
      <w:rFonts w:ascii="宋体" w:hAnsi="Courier New" w:eastAsia="宋体" w:cs="Courier New"/>
      <w:szCs w:val="21"/>
    </w:rPr>
  </w:style>
  <w:style w:type="paragraph" w:styleId="710">
    <w:name w:val="toc 8"/>
    <w:basedOn w:val="688"/>
    <w:next w:val="688"/>
    <w:uiPriority w:val="39"/>
    <w:unhideWhenUsed/>
    <w:qFormat/>
    <w:pPr>
      <w:ind w:left="1984" w:right="0" w:firstLine="0"/>
      <w:spacing w:after="57"/>
    </w:pPr>
  </w:style>
  <w:style w:type="paragraph" w:styleId="711">
    <w:name w:val="endnote text"/>
    <w:basedOn w:val="688"/>
    <w:link w:val="877"/>
    <w:uiPriority w:val="99"/>
    <w:semiHidden/>
    <w:unhideWhenUsed/>
    <w:qFormat/>
    <w:pPr>
      <w:spacing w:after="0" w:line="240" w:lineRule="auto"/>
    </w:pPr>
    <w:rPr>
      <w:sz w:val="20"/>
    </w:rPr>
  </w:style>
  <w:style w:type="paragraph" w:styleId="712">
    <w:name w:val="Footer"/>
    <w:basedOn w:val="688"/>
    <w:link w:val="750"/>
    <w:uiPriority w:val="99"/>
    <w:unhideWhenUsed/>
    <w:qFormat/>
    <w:pPr>
      <w:spacing w:after="0" w:line="240" w:lineRule="auto"/>
      <w:tabs>
        <w:tab w:val="center" w:pos="7143" w:leader="none"/>
        <w:tab w:val="right" w:pos="14287" w:leader="none"/>
      </w:tabs>
    </w:pPr>
  </w:style>
  <w:style w:type="paragraph" w:styleId="713">
    <w:name w:val="Header"/>
    <w:basedOn w:val="688"/>
    <w:link w:val="748"/>
    <w:uiPriority w:val="99"/>
    <w:unhideWhenUsed/>
    <w:qFormat/>
    <w:pPr>
      <w:spacing w:after="0" w:line="240" w:lineRule="auto"/>
      <w:tabs>
        <w:tab w:val="center" w:pos="7143" w:leader="none"/>
        <w:tab w:val="right" w:pos="14287" w:leader="none"/>
      </w:tabs>
    </w:pPr>
  </w:style>
  <w:style w:type="paragraph" w:styleId="714">
    <w:name w:val="toc 1"/>
    <w:basedOn w:val="688"/>
    <w:next w:val="688"/>
    <w:uiPriority w:val="39"/>
    <w:unhideWhenUsed/>
    <w:qFormat/>
    <w:pPr>
      <w:ind w:left="0" w:right="0" w:firstLine="0"/>
      <w:spacing w:after="57"/>
    </w:pPr>
  </w:style>
  <w:style w:type="paragraph" w:styleId="715">
    <w:name w:val="toc 4"/>
    <w:basedOn w:val="688"/>
    <w:next w:val="688"/>
    <w:uiPriority w:val="39"/>
    <w:unhideWhenUsed/>
    <w:qFormat/>
    <w:pPr>
      <w:ind w:left="850" w:right="0" w:firstLine="0"/>
      <w:spacing w:after="57"/>
    </w:pPr>
  </w:style>
  <w:style w:type="paragraph" w:styleId="716">
    <w:name w:val="Subtitle"/>
    <w:basedOn w:val="688"/>
    <w:next w:val="688"/>
    <w:link w:val="743"/>
    <w:uiPriority w:val="11"/>
    <w:qFormat/>
    <w:pPr>
      <w:spacing w:before="200" w:after="200"/>
    </w:pPr>
    <w:rPr>
      <w:sz w:val="24"/>
      <w:szCs w:val="24"/>
    </w:rPr>
  </w:style>
  <w:style w:type="paragraph" w:styleId="717">
    <w:name w:val="footnote text"/>
    <w:basedOn w:val="688"/>
    <w:link w:val="876"/>
    <w:uiPriority w:val="99"/>
    <w:semiHidden/>
    <w:unhideWhenUsed/>
    <w:qFormat/>
    <w:pPr>
      <w:spacing w:after="40" w:line="240" w:lineRule="auto"/>
    </w:pPr>
    <w:rPr>
      <w:sz w:val="18"/>
    </w:rPr>
  </w:style>
  <w:style w:type="paragraph" w:styleId="718">
    <w:name w:val="toc 6"/>
    <w:basedOn w:val="688"/>
    <w:next w:val="688"/>
    <w:uiPriority w:val="39"/>
    <w:unhideWhenUsed/>
    <w:qFormat/>
    <w:pPr>
      <w:ind w:left="1417" w:right="0" w:firstLine="0"/>
      <w:spacing w:after="57"/>
    </w:pPr>
  </w:style>
  <w:style w:type="paragraph" w:styleId="719">
    <w:name w:val="table of figures"/>
    <w:basedOn w:val="688"/>
    <w:next w:val="688"/>
    <w:uiPriority w:val="99"/>
    <w:unhideWhenUsed/>
    <w:qFormat/>
    <w:pPr>
      <w:spacing w:after="0" w:afterAutospacing="0"/>
    </w:pPr>
  </w:style>
  <w:style w:type="paragraph" w:styleId="720">
    <w:name w:val="toc 2"/>
    <w:basedOn w:val="688"/>
    <w:next w:val="688"/>
    <w:uiPriority w:val="39"/>
    <w:unhideWhenUsed/>
    <w:qFormat/>
    <w:pPr>
      <w:ind w:left="283" w:right="0" w:firstLine="0"/>
      <w:spacing w:after="57"/>
    </w:pPr>
  </w:style>
  <w:style w:type="paragraph" w:styleId="721">
    <w:name w:val="toc 9"/>
    <w:basedOn w:val="688"/>
    <w:next w:val="688"/>
    <w:uiPriority w:val="39"/>
    <w:unhideWhenUsed/>
    <w:qFormat/>
    <w:pPr>
      <w:ind w:left="2268" w:right="0" w:firstLine="0"/>
      <w:spacing w:after="57"/>
    </w:pPr>
  </w:style>
  <w:style w:type="paragraph" w:styleId="722">
    <w:name w:val="Normal (Web)"/>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723">
    <w:name w:val="Title"/>
    <w:basedOn w:val="688"/>
    <w:next w:val="688"/>
    <w:link w:val="742"/>
    <w:uiPriority w:val="10"/>
    <w:qFormat/>
    <w:pPr>
      <w:contextualSpacing/>
      <w:spacing w:before="300" w:after="200"/>
    </w:pPr>
    <w:rPr>
      <w:sz w:val="48"/>
      <w:szCs w:val="48"/>
    </w:rPr>
  </w:style>
  <w:style w:type="table" w:styleId="7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正文首行缩进 2111"/>
    <w:basedOn w:val="729"/>
    <w:next w:val="688"/>
    <w:uiPriority w:val="0"/>
    <w:qFormat/>
    <w:pPr>
      <w:ind w:left="0" w:firstLine="420"/>
      <w:spacing w:after="0" w:line="360" w:lineRule="auto"/>
    </w:pPr>
    <w:rPr>
      <w:rFonts w:ascii="宋体" w:hAnsi="宋体" w:eastAsia="宋体" w:cs="Times New Roman"/>
      <w:szCs w:val="20"/>
    </w:rPr>
  </w:style>
  <w:style w:type="paragraph" w:styleId="729" w:customStyle="1">
    <w:name w:val="正文文本缩进11"/>
    <w:basedOn w:val="688"/>
    <w:next w:val="730"/>
    <w:uiPriority w:val="0"/>
    <w:unhideWhenUsed/>
    <w:qFormat/>
    <w:pPr>
      <w:ind w:left="420"/>
      <w:spacing w:after="120"/>
    </w:pPr>
  </w:style>
  <w:style w:type="paragraph" w:styleId="730" w:customStyle="1">
    <w:name w:val="寄信人地址12"/>
    <w:basedOn w:val="688"/>
    <w:uiPriority w:val="0"/>
    <w:qFormat/>
    <w:rPr>
      <w:rFonts w:ascii="Arial" w:hAnsi="Arial" w:eastAsia="宋体" w:cs="宋体"/>
    </w:rPr>
  </w:style>
  <w:style w:type="character" w:styleId="731" w:customStyle="1">
    <w:name w:val="Heading 1 Char"/>
    <w:link w:val="689"/>
    <w:uiPriority w:val="9"/>
    <w:qFormat/>
    <w:rPr>
      <w:rFonts w:ascii="Arial" w:hAnsi="Arial" w:eastAsia="Arial" w:cs="Arial"/>
      <w:sz w:val="40"/>
      <w:szCs w:val="40"/>
    </w:rPr>
  </w:style>
  <w:style w:type="character" w:styleId="732" w:customStyle="1">
    <w:name w:val="Heading 2 Char"/>
    <w:link w:val="690"/>
    <w:uiPriority w:val="9"/>
    <w:qFormat/>
    <w:rPr>
      <w:rFonts w:ascii="Arial" w:hAnsi="Arial" w:eastAsia="Arial" w:cs="Arial"/>
      <w:sz w:val="34"/>
    </w:rPr>
  </w:style>
  <w:style w:type="character" w:styleId="733" w:customStyle="1">
    <w:name w:val="Heading 3 Char"/>
    <w:link w:val="691"/>
    <w:uiPriority w:val="9"/>
    <w:qFormat/>
    <w:rPr>
      <w:rFonts w:ascii="Arial" w:hAnsi="Arial" w:eastAsia="Arial" w:cs="Arial"/>
      <w:sz w:val="30"/>
      <w:szCs w:val="30"/>
    </w:rPr>
  </w:style>
  <w:style w:type="character" w:styleId="734" w:customStyle="1">
    <w:name w:val="Heading 4 Char"/>
    <w:link w:val="692"/>
    <w:uiPriority w:val="9"/>
    <w:qFormat/>
    <w:rPr>
      <w:rFonts w:ascii="Arial" w:hAnsi="Arial" w:eastAsia="Arial" w:cs="Arial"/>
      <w:b/>
      <w:bCs/>
      <w:sz w:val="26"/>
      <w:szCs w:val="26"/>
    </w:rPr>
  </w:style>
  <w:style w:type="character" w:styleId="735" w:customStyle="1">
    <w:name w:val="Heading 5 Char"/>
    <w:link w:val="693"/>
    <w:uiPriority w:val="9"/>
    <w:qFormat/>
    <w:rPr>
      <w:rFonts w:ascii="Arial" w:hAnsi="Arial" w:eastAsia="Arial" w:cs="Arial"/>
      <w:b/>
      <w:bCs/>
      <w:sz w:val="24"/>
      <w:szCs w:val="24"/>
    </w:rPr>
  </w:style>
  <w:style w:type="character" w:styleId="736" w:customStyle="1">
    <w:name w:val="Heading 6 Char"/>
    <w:link w:val="694"/>
    <w:uiPriority w:val="9"/>
    <w:qFormat/>
    <w:rPr>
      <w:rFonts w:ascii="Arial" w:hAnsi="Arial" w:eastAsia="Arial" w:cs="Arial"/>
      <w:b/>
      <w:bCs/>
      <w:sz w:val="22"/>
      <w:szCs w:val="22"/>
    </w:rPr>
  </w:style>
  <w:style w:type="character" w:styleId="737" w:customStyle="1">
    <w:name w:val="Heading 7 Char"/>
    <w:link w:val="695"/>
    <w:uiPriority w:val="9"/>
    <w:qFormat/>
    <w:rPr>
      <w:rFonts w:ascii="Arial" w:hAnsi="Arial" w:eastAsia="Arial" w:cs="Arial"/>
      <w:b/>
      <w:bCs/>
      <w:i/>
      <w:iCs/>
      <w:sz w:val="22"/>
      <w:szCs w:val="22"/>
    </w:rPr>
  </w:style>
  <w:style w:type="character" w:styleId="738" w:customStyle="1">
    <w:name w:val="Heading 8 Char"/>
    <w:link w:val="696"/>
    <w:uiPriority w:val="9"/>
    <w:qFormat/>
    <w:rPr>
      <w:rFonts w:ascii="Arial" w:hAnsi="Arial" w:eastAsia="Arial" w:cs="Arial"/>
      <w:i/>
      <w:iCs/>
      <w:sz w:val="22"/>
      <w:szCs w:val="22"/>
    </w:rPr>
  </w:style>
  <w:style w:type="character" w:styleId="739" w:customStyle="1">
    <w:name w:val="Heading 9 Char"/>
    <w:link w:val="697"/>
    <w:uiPriority w:val="9"/>
    <w:qFormat/>
    <w:rPr>
      <w:rFonts w:ascii="Arial" w:hAnsi="Arial" w:eastAsia="Arial" w:cs="Arial"/>
      <w:i/>
      <w:iCs/>
      <w:sz w:val="21"/>
      <w:szCs w:val="21"/>
    </w:rPr>
  </w:style>
  <w:style w:type="paragraph" w:styleId="740">
    <w:name w:val="List Paragraph"/>
    <w:basedOn w:val="688"/>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3"/>
    <w:uiPriority w:val="10"/>
    <w:qFormat/>
    <w:rPr>
      <w:sz w:val="48"/>
      <w:szCs w:val="48"/>
    </w:rPr>
  </w:style>
  <w:style w:type="character" w:styleId="743" w:customStyle="1">
    <w:name w:val="Subtitle Char"/>
    <w:link w:val="716"/>
    <w:uiPriority w:val="11"/>
    <w:qFormat/>
    <w:rPr>
      <w:sz w:val="24"/>
      <w:szCs w:val="24"/>
    </w:rPr>
  </w:style>
  <w:style w:type="paragraph" w:styleId="744">
    <w:name w:val="Quote"/>
    <w:basedOn w:val="688"/>
    <w:next w:val="688"/>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88"/>
    <w:next w:val="68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3"/>
    <w:uiPriority w:val="99"/>
    <w:qFormat/>
  </w:style>
  <w:style w:type="character" w:styleId="749" w:customStyle="1">
    <w:name w:val="Footer Char"/>
    <w:link w:val="712"/>
    <w:uiPriority w:val="99"/>
    <w:qFormat/>
  </w:style>
  <w:style w:type="character" w:styleId="750" w:customStyle="1">
    <w:name w:val="Caption Char"/>
    <w:link w:val="712"/>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7"/>
    <w:uiPriority w:val="99"/>
    <w:qFormat/>
    <w:rPr>
      <w:sz w:val="18"/>
    </w:rPr>
  </w:style>
  <w:style w:type="character" w:styleId="877" w:customStyle="1">
    <w:name w:val="Endnote Text Char"/>
    <w:link w:val="711"/>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88"/>
    <w:next w:val="688"/>
    <w:link w:val="891"/>
    <w:uiPriority w:val="0"/>
    <w:qFormat/>
    <w:pPr>
      <w:jc w:val="center"/>
      <w:keepNext/>
      <w:outlineLvl w:val="0"/>
    </w:pPr>
    <w:rPr>
      <w:rFonts w:ascii="楷体_GB2312" w:hAnsi="Times New Roman" w:eastAsia="楷体_GB2312" w:cs="Times New Roman"/>
      <w:sz w:val="28"/>
      <w:szCs w:val="28"/>
    </w:rPr>
  </w:style>
  <w:style w:type="paragraph" w:styleId="880" w:customStyle="1">
    <w:name w:val="标题 21"/>
    <w:basedOn w:val="688"/>
    <w:next w:val="881"/>
    <w:link w:val="8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customStyle="1">
    <w:name w:val="正文缩进1"/>
    <w:basedOn w:val="688"/>
    <w:link w:val="893"/>
    <w:uiPriority w:val="0"/>
    <w:qFormat/>
    <w:pPr>
      <w:ind w:firstLine="420"/>
    </w:pPr>
    <w:rPr>
      <w:szCs w:val="21"/>
    </w:rPr>
  </w:style>
  <w:style w:type="paragraph" w:styleId="882" w:customStyle="1">
    <w:name w:val="标题 31"/>
    <w:basedOn w:val="688"/>
    <w:next w:val="881"/>
    <w:link w:val="89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3" w:customStyle="1">
    <w:name w:val="标题 41"/>
    <w:basedOn w:val="688"/>
    <w:next w:val="881"/>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88"/>
    <w:next w:val="881"/>
    <w:link w:val="896"/>
    <w:uiPriority w:val="0"/>
    <w:qFormat/>
    <w:pPr>
      <w:keepNext/>
      <w:outlineLvl w:val="4"/>
    </w:pPr>
    <w:rPr>
      <w:rFonts w:ascii="宋体" w:hAnsi="Times New Roman" w:eastAsia="宋体" w:cs="Times New Roman"/>
      <w:color w:val="000000"/>
      <w:sz w:val="28"/>
      <w:szCs w:val="28"/>
    </w:rPr>
  </w:style>
  <w:style w:type="paragraph" w:styleId="885" w:customStyle="1">
    <w:name w:val="标题 61"/>
    <w:basedOn w:val="688"/>
    <w:next w:val="688"/>
    <w:link w:val="89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6" w:customStyle="1">
    <w:name w:val="标题 71"/>
    <w:basedOn w:val="688"/>
    <w:next w:val="688"/>
    <w:link w:val="89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7" w:customStyle="1">
    <w:name w:val="标题 81"/>
    <w:basedOn w:val="688"/>
    <w:next w:val="688"/>
    <w:link w:val="89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8" w:customStyle="1">
    <w:name w:val="标题 91"/>
    <w:basedOn w:val="688"/>
    <w:next w:val="688"/>
    <w:link w:val="90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9" w:customStyle="1">
    <w:name w:val="默认段落字体1"/>
    <w:link w:val="688"/>
    <w:uiPriority w:val="1"/>
    <w:unhideWhenUsed/>
    <w:qFormat/>
  </w:style>
  <w:style w:type="table" w:styleId="890" w:customStyle="1">
    <w:name w:val="普通表格11"/>
    <w:uiPriority w:val="99"/>
    <w:unhideWhenUsed/>
    <w:qFormat/>
    <w:tblPr/>
  </w:style>
  <w:style w:type="character" w:styleId="891" w:customStyle="1">
    <w:name w:val="标题 1 字符"/>
    <w:link w:val="879"/>
    <w:uiPriority w:val="0"/>
    <w:qFormat/>
    <w:rPr>
      <w:rFonts w:ascii="楷体_GB2312" w:hAnsi="Times New Roman" w:eastAsia="楷体_GB2312" w:cs="Times New Roman"/>
      <w:sz w:val="28"/>
      <w:szCs w:val="28"/>
    </w:rPr>
  </w:style>
  <w:style w:type="character" w:styleId="892" w:customStyle="1">
    <w:name w:val="标题 2 字符"/>
    <w:link w:val="880"/>
    <w:uiPriority w:val="0"/>
    <w:qFormat/>
    <w:rPr>
      <w:rFonts w:ascii="Arial" w:hAnsi="Arial" w:eastAsia="幼圆" w:cs="Arial"/>
      <w:b/>
      <w:bCs/>
      <w:sz w:val="44"/>
      <w:szCs w:val="44"/>
    </w:rPr>
  </w:style>
  <w:style w:type="character" w:styleId="893" w:customStyle="1">
    <w:name w:val="正文缩进 字符"/>
    <w:link w:val="881"/>
    <w:uiPriority w:val="0"/>
    <w:qFormat/>
    <w:rPr>
      <w:szCs w:val="21"/>
    </w:rPr>
  </w:style>
  <w:style w:type="character" w:styleId="894" w:customStyle="1">
    <w:name w:val="标题 3 字符"/>
    <w:link w:val="882"/>
    <w:uiPriority w:val="0"/>
    <w:qFormat/>
    <w:rPr>
      <w:rFonts w:ascii="Times New Roman" w:hAnsi="Times New Roman" w:eastAsia="宋体" w:cs="Times New Roman"/>
      <w:b/>
      <w:bCs/>
      <w:sz w:val="32"/>
      <w:szCs w:val="32"/>
    </w:rPr>
  </w:style>
  <w:style w:type="character" w:styleId="895" w:customStyle="1">
    <w:name w:val="标题 4 字符"/>
    <w:link w:val="883"/>
    <w:uiPriority w:val="0"/>
    <w:qFormat/>
    <w:rPr>
      <w:rFonts w:ascii="Arial" w:hAnsi="Arial" w:eastAsia="黑体" w:cs="Arial"/>
      <w:b/>
      <w:bCs/>
      <w:sz w:val="28"/>
      <w:szCs w:val="28"/>
    </w:rPr>
  </w:style>
  <w:style w:type="character" w:styleId="896" w:customStyle="1">
    <w:name w:val="标题 5 字符"/>
    <w:link w:val="884"/>
    <w:uiPriority w:val="0"/>
    <w:qFormat/>
    <w:rPr>
      <w:rFonts w:ascii="宋体" w:hAnsi="Times New Roman" w:eastAsia="宋体" w:cs="Times New Roman"/>
      <w:color w:val="000000"/>
      <w:sz w:val="28"/>
      <w:szCs w:val="28"/>
    </w:rPr>
  </w:style>
  <w:style w:type="character" w:styleId="897" w:customStyle="1">
    <w:name w:val="标题 6 字符"/>
    <w:link w:val="885"/>
    <w:uiPriority w:val="0"/>
    <w:qFormat/>
    <w:rPr>
      <w:rFonts w:ascii="Arial" w:hAnsi="Arial" w:eastAsia="黑体" w:cs="Times New Roman"/>
      <w:b/>
      <w:bCs/>
      <w:sz w:val="24"/>
      <w:szCs w:val="24"/>
    </w:rPr>
  </w:style>
  <w:style w:type="character" w:styleId="898" w:customStyle="1">
    <w:name w:val="标题 7 字符"/>
    <w:link w:val="886"/>
    <w:uiPriority w:val="0"/>
    <w:qFormat/>
    <w:rPr>
      <w:rFonts w:ascii="Times New Roman" w:hAnsi="Times New Roman" w:eastAsia="宋体" w:cs="Times New Roman"/>
      <w:b/>
      <w:bCs/>
      <w:sz w:val="24"/>
      <w:szCs w:val="24"/>
    </w:rPr>
  </w:style>
  <w:style w:type="character" w:styleId="899" w:customStyle="1">
    <w:name w:val="标题 8 字符"/>
    <w:link w:val="887"/>
    <w:uiPriority w:val="0"/>
    <w:qFormat/>
    <w:rPr>
      <w:rFonts w:ascii="Arial" w:hAnsi="Arial" w:eastAsia="黑体" w:cs="Times New Roman"/>
      <w:sz w:val="24"/>
      <w:szCs w:val="24"/>
    </w:rPr>
  </w:style>
  <w:style w:type="character" w:styleId="900" w:customStyle="1">
    <w:name w:val="标题 9 字符"/>
    <w:link w:val="888"/>
    <w:uiPriority w:val="0"/>
    <w:qFormat/>
    <w:rPr>
      <w:rFonts w:ascii="Arial" w:hAnsi="Arial" w:eastAsia="黑体" w:cs="Times New Roman"/>
      <w:szCs w:val="21"/>
    </w:rPr>
  </w:style>
  <w:style w:type="paragraph" w:styleId="901" w:customStyle="1">
    <w:name w:val="列表 31"/>
    <w:basedOn w:val="688"/>
    <w:uiPriority w:val="0"/>
    <w:qFormat/>
    <w:pPr>
      <w:ind w:left="100" w:hanging="200"/>
    </w:pPr>
    <w:rPr>
      <w:rFonts w:ascii="Times New Roman" w:hAnsi="Times New Roman" w:eastAsia="宋体" w:cs="Times New Roman"/>
      <w:szCs w:val="21"/>
    </w:rPr>
  </w:style>
  <w:style w:type="paragraph" w:styleId="902"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903" w:customStyle="1">
    <w:name w:val="文档结构图1"/>
    <w:basedOn w:val="688"/>
    <w:link w:val="904"/>
    <w:uiPriority w:val="0"/>
    <w:semiHidden/>
    <w:qFormat/>
    <w:pPr>
      <w:shd w:val="clear" w:color="auto" w:fill="000080"/>
    </w:pPr>
    <w:rPr>
      <w:rFonts w:ascii="Times New Roman" w:hAnsi="Times New Roman" w:eastAsia="宋体" w:cs="Times New Roman"/>
      <w:szCs w:val="21"/>
    </w:rPr>
  </w:style>
  <w:style w:type="character" w:styleId="904" w:customStyle="1">
    <w:name w:val="文档结构图 字符"/>
    <w:link w:val="903"/>
    <w:uiPriority w:val="0"/>
    <w:semiHidden/>
    <w:qFormat/>
    <w:rPr>
      <w:rFonts w:ascii="Times New Roman" w:hAnsi="Times New Roman" w:eastAsia="宋体" w:cs="Times New Roman"/>
      <w:szCs w:val="21"/>
      <w:shd w:val="clear" w:color="auto" w:fill="000080"/>
    </w:rPr>
  </w:style>
  <w:style w:type="paragraph" w:styleId="905" w:customStyle="1">
    <w:name w:val="批注文字1"/>
    <w:basedOn w:val="688"/>
    <w:link w:val="906"/>
    <w:uiPriority w:val="0"/>
    <w:unhideWhenUsed/>
    <w:qFormat/>
    <w:pPr>
      <w:jc w:val="left"/>
    </w:pPr>
  </w:style>
  <w:style w:type="character" w:styleId="906" w:customStyle="1">
    <w:name w:val="批注文字 字符"/>
    <w:link w:val="905"/>
    <w:uiPriority w:val="99"/>
    <w:qFormat/>
  </w:style>
  <w:style w:type="paragraph" w:styleId="907" w:customStyle="1">
    <w:name w:val="正文文本 31"/>
    <w:basedOn w:val="688"/>
    <w:link w:val="908"/>
    <w:uiPriority w:val="0"/>
    <w:qFormat/>
    <w:rPr>
      <w:rFonts w:ascii="仿宋_GB2312" w:hAnsi="Arial" w:eastAsia="仿宋_GB2312" w:cs="Times New Roman"/>
      <w:sz w:val="32"/>
      <w:szCs w:val="32"/>
    </w:rPr>
  </w:style>
  <w:style w:type="character" w:styleId="908" w:customStyle="1">
    <w:name w:val="正文文本 3 字符"/>
    <w:link w:val="907"/>
    <w:uiPriority w:val="0"/>
    <w:qFormat/>
    <w:rPr>
      <w:rFonts w:ascii="仿宋_GB2312" w:hAnsi="Arial" w:eastAsia="仿宋_GB2312" w:cs="Times New Roman"/>
      <w:sz w:val="32"/>
      <w:szCs w:val="32"/>
    </w:rPr>
  </w:style>
  <w:style w:type="paragraph" w:styleId="909" w:customStyle="1">
    <w:name w:val="正文文本11"/>
    <w:basedOn w:val="688"/>
    <w:link w:val="910"/>
    <w:uiPriority w:val="0"/>
    <w:qFormat/>
    <w:rPr>
      <w:rFonts w:ascii="楷体_GB2312" w:hAnsi="Arial" w:eastAsia="楷体_GB2312" w:cs="Times New Roman"/>
      <w:sz w:val="28"/>
      <w:szCs w:val="28"/>
    </w:rPr>
  </w:style>
  <w:style w:type="character" w:styleId="910" w:customStyle="1">
    <w:name w:val="正文文本 字符"/>
    <w:link w:val="909"/>
    <w:uiPriority w:val="0"/>
    <w:qFormat/>
    <w:rPr>
      <w:rFonts w:ascii="楷体_GB2312" w:hAnsi="Arial" w:eastAsia="楷体_GB2312" w:cs="Times New Roman"/>
      <w:sz w:val="28"/>
      <w:szCs w:val="28"/>
    </w:rPr>
  </w:style>
  <w:style w:type="paragraph" w:styleId="911" w:customStyle="1">
    <w:name w:val="正文文本缩进12"/>
    <w:basedOn w:val="688"/>
    <w:next w:val="912"/>
    <w:link w:val="913"/>
    <w:uiPriority w:val="0"/>
    <w:unhideWhenUsed/>
    <w:qFormat/>
    <w:pPr>
      <w:ind w:left="420"/>
      <w:spacing w:after="120"/>
    </w:pPr>
  </w:style>
  <w:style w:type="paragraph" w:styleId="912" w:customStyle="1">
    <w:name w:val="寄信人地址1"/>
    <w:basedOn w:val="688"/>
    <w:uiPriority w:val="0"/>
    <w:qFormat/>
    <w:rPr>
      <w:rFonts w:ascii="Arial" w:hAnsi="Arial" w:eastAsia="宋体" w:cs="宋体"/>
    </w:rPr>
  </w:style>
  <w:style w:type="character" w:styleId="913" w:customStyle="1">
    <w:name w:val="正文文本缩进 字符"/>
    <w:link w:val="911"/>
    <w:uiPriority w:val="99"/>
    <w:semiHidden/>
    <w:qFormat/>
  </w:style>
  <w:style w:type="paragraph" w:styleId="914" w:customStyle="1">
    <w:name w:val="列表 21"/>
    <w:basedOn w:val="688"/>
    <w:uiPriority w:val="0"/>
    <w:qFormat/>
    <w:pPr>
      <w:ind w:left="100" w:hanging="200"/>
    </w:pPr>
    <w:rPr>
      <w:rFonts w:ascii="Times New Roman" w:hAnsi="Times New Roman" w:eastAsia="宋体" w:cs="Times New Roman"/>
      <w:szCs w:val="21"/>
    </w:rPr>
  </w:style>
  <w:style w:type="paragraph" w:styleId="915"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16"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17" w:customStyle="1">
    <w:name w:val="纯文本1"/>
    <w:basedOn w:val="688"/>
    <w:link w:val="918"/>
    <w:uiPriority w:val="0"/>
    <w:qFormat/>
    <w:rPr>
      <w:rFonts w:ascii="宋体" w:hAnsi="Courier New" w:eastAsia="宋体" w:cs="Courier New"/>
      <w:szCs w:val="21"/>
    </w:rPr>
  </w:style>
  <w:style w:type="character" w:styleId="918" w:customStyle="1">
    <w:name w:val="纯文本 字符"/>
    <w:link w:val="917"/>
    <w:uiPriority w:val="0"/>
    <w:qFormat/>
    <w:rPr>
      <w:rFonts w:ascii="宋体" w:hAnsi="Courier New" w:eastAsia="宋体" w:cs="Courier New"/>
      <w:szCs w:val="21"/>
    </w:rPr>
  </w:style>
  <w:style w:type="paragraph" w:styleId="919"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20" w:customStyle="1">
    <w:name w:val="日期1"/>
    <w:basedOn w:val="688"/>
    <w:next w:val="688"/>
    <w:link w:val="921"/>
    <w:uiPriority w:val="0"/>
    <w:qFormat/>
    <w:rPr>
      <w:rFonts w:ascii="Times New Roman" w:hAnsi="Times New Roman" w:eastAsia="宋体" w:cs="Times New Roman"/>
      <w:sz w:val="24"/>
      <w:szCs w:val="24"/>
    </w:rPr>
  </w:style>
  <w:style w:type="character" w:styleId="921" w:customStyle="1">
    <w:name w:val="日期 字符"/>
    <w:link w:val="920"/>
    <w:uiPriority w:val="0"/>
    <w:qFormat/>
    <w:rPr>
      <w:rFonts w:ascii="Times New Roman" w:hAnsi="Times New Roman" w:eastAsia="宋体" w:cs="Times New Roman"/>
      <w:sz w:val="24"/>
      <w:szCs w:val="24"/>
    </w:rPr>
  </w:style>
  <w:style w:type="paragraph" w:styleId="922" w:customStyle="1">
    <w:name w:val="正文文本缩进 21"/>
    <w:basedOn w:val="688"/>
    <w:link w:val="923"/>
    <w:uiPriority w:val="0"/>
    <w:qFormat/>
    <w:pPr>
      <w:ind w:left="630" w:firstLine="645"/>
    </w:pPr>
    <w:rPr>
      <w:rFonts w:ascii="Arial" w:hAnsi="Arial" w:eastAsia="仿宋_GB2312" w:cs="Arial"/>
      <w:sz w:val="32"/>
      <w:szCs w:val="32"/>
    </w:rPr>
  </w:style>
  <w:style w:type="character" w:styleId="923" w:customStyle="1">
    <w:name w:val="正文文本缩进 2 字符"/>
    <w:link w:val="922"/>
    <w:uiPriority w:val="0"/>
    <w:qFormat/>
    <w:rPr>
      <w:rFonts w:ascii="Arial" w:hAnsi="Arial" w:eastAsia="仿宋_GB2312" w:cs="Arial"/>
      <w:sz w:val="32"/>
      <w:szCs w:val="32"/>
    </w:rPr>
  </w:style>
  <w:style w:type="paragraph" w:styleId="924" w:customStyle="1">
    <w:name w:val="批注框文本1"/>
    <w:basedOn w:val="688"/>
    <w:link w:val="925"/>
    <w:uiPriority w:val="0"/>
    <w:semiHidden/>
    <w:qFormat/>
    <w:rPr>
      <w:rFonts w:ascii="Times New Roman" w:hAnsi="Times New Roman" w:eastAsia="宋体" w:cs="Times New Roman"/>
      <w:sz w:val="18"/>
      <w:szCs w:val="18"/>
    </w:rPr>
  </w:style>
  <w:style w:type="character" w:styleId="925" w:customStyle="1">
    <w:name w:val="批注框文本 字符"/>
    <w:link w:val="924"/>
    <w:uiPriority w:val="0"/>
    <w:semiHidden/>
    <w:qFormat/>
    <w:rPr>
      <w:rFonts w:ascii="Times New Roman" w:hAnsi="Times New Roman" w:eastAsia="宋体" w:cs="Times New Roman"/>
      <w:sz w:val="18"/>
      <w:szCs w:val="18"/>
    </w:rPr>
  </w:style>
  <w:style w:type="paragraph" w:styleId="926" w:customStyle="1">
    <w:name w:val="页脚1"/>
    <w:basedOn w:val="688"/>
    <w:link w:val="92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7" w:customStyle="1">
    <w:name w:val="页脚 字符"/>
    <w:link w:val="926"/>
    <w:uiPriority w:val="0"/>
    <w:qFormat/>
    <w:rPr>
      <w:rFonts w:ascii="Times New Roman" w:hAnsi="Times New Roman" w:eastAsia="宋体" w:cs="Times New Roman"/>
      <w:sz w:val="18"/>
      <w:szCs w:val="18"/>
    </w:rPr>
  </w:style>
  <w:style w:type="paragraph" w:styleId="928" w:customStyle="1">
    <w:name w:val="页眉1"/>
    <w:basedOn w:val="688"/>
    <w:link w:val="92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customStyle="1">
    <w:name w:val="页眉 字符"/>
    <w:link w:val="928"/>
    <w:uiPriority w:val="0"/>
    <w:qFormat/>
    <w:rPr>
      <w:rFonts w:ascii="Times New Roman" w:hAnsi="Times New Roman" w:eastAsia="宋体" w:cs="Times New Roman"/>
      <w:sz w:val="18"/>
      <w:szCs w:val="18"/>
    </w:rPr>
  </w:style>
  <w:style w:type="paragraph" w:styleId="930"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1"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32" w:customStyle="1">
    <w:name w:val="列表1"/>
    <w:basedOn w:val="688"/>
    <w:uiPriority w:val="0"/>
    <w:qFormat/>
    <w:pPr>
      <w:ind w:left="200" w:hanging="200"/>
    </w:pPr>
    <w:rPr>
      <w:rFonts w:ascii="Times New Roman" w:hAnsi="Times New Roman" w:eastAsia="宋体" w:cs="Times New Roman"/>
      <w:szCs w:val="21"/>
    </w:rPr>
  </w:style>
  <w:style w:type="paragraph" w:styleId="933"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34" w:customStyle="1">
    <w:name w:val="正文文本缩进 31"/>
    <w:basedOn w:val="688"/>
    <w:link w:val="935"/>
    <w:uiPriority w:val="0"/>
    <w:qFormat/>
    <w:pPr>
      <w:ind w:left="645" w:firstLine="645"/>
    </w:pPr>
    <w:rPr>
      <w:rFonts w:ascii="Arial" w:hAnsi="Arial" w:eastAsia="仿宋_GB2312" w:cs="Arial"/>
      <w:color w:val="ffff00"/>
      <w:sz w:val="32"/>
      <w:szCs w:val="32"/>
    </w:rPr>
  </w:style>
  <w:style w:type="character" w:styleId="935" w:customStyle="1">
    <w:name w:val="正文文本缩进 3 字符"/>
    <w:link w:val="934"/>
    <w:uiPriority w:val="0"/>
    <w:qFormat/>
    <w:rPr>
      <w:rFonts w:ascii="Arial" w:hAnsi="Arial" w:eastAsia="仿宋_GB2312" w:cs="Arial"/>
      <w:color w:val="ffff00"/>
      <w:sz w:val="32"/>
      <w:szCs w:val="32"/>
    </w:rPr>
  </w:style>
  <w:style w:type="paragraph" w:styleId="936"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7"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8"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9" w:customStyle="1">
    <w:name w:val="正文文本 21"/>
    <w:basedOn w:val="688"/>
    <w:link w:val="940"/>
    <w:uiPriority w:val="0"/>
    <w:qFormat/>
    <w:pPr>
      <w:jc w:val="center"/>
      <w:widowControl/>
    </w:pPr>
    <w:rPr>
      <w:rFonts w:ascii="楷体_GB2312" w:hAnsi="Times New Roman" w:eastAsia="楷体_GB2312" w:cs="Times New Roman"/>
      <w:sz w:val="28"/>
      <w:szCs w:val="28"/>
    </w:rPr>
  </w:style>
  <w:style w:type="character" w:styleId="940" w:customStyle="1">
    <w:name w:val="正文文本 2 字符"/>
    <w:link w:val="939"/>
    <w:uiPriority w:val="0"/>
    <w:qFormat/>
    <w:rPr>
      <w:rFonts w:ascii="楷体_GB2312" w:hAnsi="Times New Roman" w:eastAsia="楷体_GB2312" w:cs="Times New Roman"/>
      <w:sz w:val="28"/>
      <w:szCs w:val="28"/>
    </w:rPr>
  </w:style>
  <w:style w:type="paragraph" w:styleId="941"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42"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43" w:customStyle="1">
    <w:name w:val="批注主题1"/>
    <w:basedOn w:val="905"/>
    <w:next w:val="905"/>
    <w:link w:val="944"/>
    <w:uiPriority w:val="0"/>
    <w:semiHidden/>
    <w:qFormat/>
    <w:rPr>
      <w:rFonts w:ascii="Times New Roman" w:hAnsi="Times New Roman" w:eastAsia="宋体" w:cs="Times New Roman"/>
      <w:b/>
      <w:bCs/>
      <w:szCs w:val="21"/>
    </w:rPr>
  </w:style>
  <w:style w:type="character" w:styleId="944" w:customStyle="1">
    <w:name w:val="批注主题 字符"/>
    <w:link w:val="943"/>
    <w:uiPriority w:val="0"/>
    <w:semiHidden/>
    <w:qFormat/>
    <w:rPr>
      <w:rFonts w:ascii="Times New Roman" w:hAnsi="Times New Roman" w:eastAsia="宋体" w:cs="Times New Roman"/>
      <w:b/>
      <w:bCs/>
      <w:szCs w:val="21"/>
    </w:rPr>
  </w:style>
  <w:style w:type="paragraph" w:styleId="945" w:customStyle="1">
    <w:name w:val="正文首行缩进1"/>
    <w:basedOn w:val="688"/>
    <w:link w:val="946"/>
    <w:uiPriority w:val="0"/>
    <w:qFormat/>
    <w:pPr>
      <w:ind w:firstLine="200"/>
      <w:spacing w:line="360" w:lineRule="auto"/>
    </w:pPr>
    <w:rPr>
      <w:rFonts w:ascii="仿宋_GB2312" w:hAnsi="Times New Roman" w:eastAsia="仿宋_GB2312" w:cs="Times New Roman"/>
      <w:sz w:val="30"/>
      <w:szCs w:val="30"/>
    </w:rPr>
  </w:style>
  <w:style w:type="character" w:styleId="946" w:customStyle="1">
    <w:name w:val="正文文本首行缩进 字符"/>
    <w:link w:val="945"/>
    <w:uiPriority w:val="0"/>
    <w:qFormat/>
    <w:rPr>
      <w:rFonts w:ascii="仿宋_GB2312" w:hAnsi="Times New Roman" w:eastAsia="仿宋_GB2312" w:cs="Times New Roman"/>
      <w:sz w:val="30"/>
      <w:szCs w:val="30"/>
    </w:rPr>
  </w:style>
  <w:style w:type="paragraph" w:styleId="947" w:customStyle="1">
    <w:name w:val="正文首行缩进 211"/>
    <w:basedOn w:val="911"/>
    <w:next w:val="688"/>
    <w:link w:val="948"/>
    <w:uiPriority w:val="0"/>
    <w:qFormat/>
    <w:pPr>
      <w:ind w:left="0" w:firstLine="420"/>
      <w:spacing w:after="0" w:line="360" w:lineRule="auto"/>
    </w:pPr>
    <w:rPr>
      <w:rFonts w:ascii="宋体" w:hAnsi="宋体" w:eastAsia="宋体" w:cs="Times New Roman"/>
      <w:szCs w:val="20"/>
    </w:rPr>
  </w:style>
  <w:style w:type="character" w:styleId="948" w:customStyle="1">
    <w:name w:val="正文文本首行缩进 2 字符"/>
    <w:link w:val="947"/>
    <w:uiPriority w:val="0"/>
    <w:qFormat/>
    <w:rPr>
      <w:rFonts w:ascii="宋体" w:hAnsi="宋体" w:eastAsia="宋体" w:cs="Times New Roman"/>
      <w:szCs w:val="20"/>
    </w:rPr>
  </w:style>
  <w:style w:type="table" w:styleId="949" w:customStyle="1">
    <w:name w:val="网格型11"/>
    <w:basedOn w:val="890"/>
    <w:uiPriority w:val="99"/>
    <w:qFormat/>
    <w:pPr>
      <w:jc w:val="both"/>
      <w:widowControl w:val="off"/>
    </w:pPr>
    <w:rPr>
      <w:rFonts w:ascii="Times New Roman" w:hAnsi="Times New Roman" w:eastAsia="宋体" w:cs="Times New Roman"/>
      <w:sz w:val="20"/>
      <w:szCs w:val="20"/>
    </w:rPr>
    <w:tblPr/>
  </w:style>
  <w:style w:type="character" w:styleId="950" w:customStyle="1">
    <w:name w:val="要点1"/>
    <w:link w:val="688"/>
    <w:uiPriority w:val="0"/>
    <w:qFormat/>
    <w:rPr>
      <w:b/>
      <w:bCs/>
    </w:rPr>
  </w:style>
  <w:style w:type="character" w:styleId="951" w:customStyle="1">
    <w:name w:val="页码1"/>
    <w:link w:val="688"/>
    <w:uiPriority w:val="0"/>
    <w:qFormat/>
  </w:style>
  <w:style w:type="character" w:styleId="952" w:customStyle="1">
    <w:name w:val="已访问的超链接1"/>
    <w:link w:val="688"/>
    <w:uiPriority w:val="0"/>
    <w:qFormat/>
    <w:rPr>
      <w:color w:val="800080"/>
      <w:u w:val="single"/>
    </w:rPr>
  </w:style>
  <w:style w:type="character" w:styleId="953" w:customStyle="1">
    <w:name w:val="超链接1"/>
    <w:link w:val="688"/>
    <w:uiPriority w:val="0"/>
    <w:qFormat/>
    <w:rPr>
      <w:color w:val="0000ff"/>
      <w:u w:val="single"/>
    </w:rPr>
  </w:style>
  <w:style w:type="character" w:styleId="954" w:customStyle="1">
    <w:name w:val="批注引用1"/>
    <w:link w:val="688"/>
    <w:uiPriority w:val="0"/>
    <w:semiHidden/>
    <w:qFormat/>
    <w:rPr>
      <w:sz w:val="21"/>
      <w:szCs w:val="21"/>
    </w:rPr>
  </w:style>
  <w:style w:type="paragraph" w:styleId="955" w:customStyle="1">
    <w:name w:val="索引 41"/>
    <w:basedOn w:val="688"/>
    <w:next w:val="688"/>
    <w:uiPriority w:val="0"/>
    <w:semiHidden/>
    <w:qFormat/>
    <w:pPr>
      <w:ind w:left="1260"/>
    </w:pPr>
    <w:rPr>
      <w:rFonts w:ascii="Calibri" w:hAnsi="Calibri" w:eastAsia="Calibri" w:cs="宋体"/>
      <w:sz w:val="20"/>
      <w:lang w:val="zh-CN"/>
    </w:rPr>
  </w:style>
  <w:style w:type="character" w:styleId="956" w:customStyle="1">
    <w:name w:val="font5 Char"/>
    <w:link w:val="688"/>
    <w:uiPriority w:val="0"/>
    <w:qFormat/>
    <w:rPr>
      <w:rFonts w:ascii="宋体" w:hAnsi="宋体" w:eastAsia="宋体"/>
      <w:sz w:val="28"/>
      <w:szCs w:val="28"/>
      <w:lang w:val="en-US" w:eastAsia="zh-CN" w:bidi="ar-SA"/>
    </w:rPr>
  </w:style>
  <w:style w:type="character" w:styleId="957" w:customStyle="1">
    <w:name w:val="二级目录 Char"/>
    <w:link w:val="958"/>
    <w:uiPriority w:val="0"/>
    <w:qFormat/>
    <w:rPr>
      <w:b/>
      <w:sz w:val="30"/>
      <w:szCs w:val="28"/>
    </w:rPr>
  </w:style>
  <w:style w:type="paragraph" w:styleId="958" w:customStyle="1">
    <w:name w:val="二级目录"/>
    <w:next w:val="688"/>
    <w:link w:val="95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9" w:customStyle="1">
    <w:name w:val="列出段落 Char"/>
    <w:link w:val="960"/>
    <w:uiPriority w:val="0"/>
    <w:qFormat/>
    <w:rPr>
      <w:rFonts w:ascii="Calibri" w:hAnsi="Calibri"/>
      <w:sz w:val="24"/>
      <w:szCs w:val="24"/>
      <w:lang w:eastAsia="en-US" w:bidi="en-US"/>
    </w:rPr>
  </w:style>
  <w:style w:type="paragraph" w:styleId="960" w:customStyle="1">
    <w:name w:val="列出段落1"/>
    <w:basedOn w:val="688"/>
    <w:link w:val="959"/>
    <w:uiPriority w:val="0"/>
    <w:qFormat/>
    <w:pPr>
      <w:contextualSpacing/>
      <w:ind w:left="720"/>
      <w:jc w:val="left"/>
      <w:widowControl/>
    </w:pPr>
    <w:rPr>
      <w:rFonts w:ascii="Calibri" w:hAnsi="Calibri"/>
      <w:sz w:val="24"/>
      <w:szCs w:val="24"/>
      <w:lang w:eastAsia="en-US" w:bidi="en-US"/>
    </w:rPr>
  </w:style>
  <w:style w:type="paragraph" w:styleId="961" w:customStyle="1">
    <w:name w:val="Body Text(ch)"/>
    <w:basedOn w:val="688"/>
    <w:next w:val="909"/>
    <w:uiPriority w:val="0"/>
    <w:qFormat/>
    <w:pPr>
      <w:spacing w:after="120"/>
    </w:pPr>
    <w:rPr>
      <w:rFonts w:ascii="宋体" w:hAnsi="Arial" w:eastAsia="宋体" w:cs="Times New Roman"/>
      <w:bCs/>
      <w:iCs/>
      <w:szCs w:val="24"/>
    </w:rPr>
  </w:style>
  <w:style w:type="paragraph" w:styleId="962"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 Char"/>
    <w:basedOn w:val="903"/>
    <w:uiPriority w:val="0"/>
    <w:qFormat/>
    <w:rPr>
      <w:rFonts w:ascii="Tahoma" w:hAnsi="Tahoma"/>
      <w:sz w:val="24"/>
      <w:szCs w:val="24"/>
    </w:rPr>
  </w:style>
  <w:style w:type="paragraph" w:styleId="966"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967"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9"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 Char Char Char Char"/>
    <w:basedOn w:val="903"/>
    <w:uiPriority w:val="0"/>
    <w:qFormat/>
    <w:pPr>
      <w:spacing w:line="360" w:lineRule="auto"/>
    </w:pPr>
    <w:rPr>
      <w:rFonts w:ascii="Tahoma" w:hAnsi="Tahoma"/>
      <w:sz w:val="24"/>
      <w:szCs w:val="24"/>
    </w:rPr>
  </w:style>
  <w:style w:type="paragraph" w:styleId="971" w:customStyle="1">
    <w:name w:val="列表段落"/>
    <w:basedOn w:val="688"/>
    <w:uiPriority w:val="99"/>
    <w:qFormat/>
    <w:pPr>
      <w:contextualSpacing/>
      <w:ind w:left="720"/>
      <w:jc w:val="left"/>
      <w:widowControl/>
    </w:pPr>
    <w:rPr>
      <w:rFonts w:ascii="Calibri" w:hAnsi="Calibri" w:eastAsia="宋体" w:cs="Times New Roman"/>
      <w:sz w:val="24"/>
      <w:szCs w:val="24"/>
      <w:lang w:eastAsia="en-US" w:bidi="en-US"/>
    </w:rPr>
  </w:style>
  <w:style w:type="paragraph" w:styleId="972" w:customStyle="1">
    <w:name w:val="4"/>
    <w:basedOn w:val="688"/>
    <w:next w:val="934"/>
    <w:uiPriority w:val="0"/>
    <w:qFormat/>
    <w:pPr>
      <w:ind w:firstLine="420"/>
      <w:spacing w:line="360" w:lineRule="auto"/>
    </w:pPr>
    <w:rPr>
      <w:rFonts w:ascii="Times New Roman" w:hAnsi="Times New Roman" w:eastAsia="宋体" w:cs="Times New Roman"/>
      <w:color w:val="ff0000"/>
      <w:sz w:val="24"/>
      <w:szCs w:val="24"/>
    </w:rPr>
  </w:style>
  <w:style w:type="paragraph" w:styleId="973"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74"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75" w:customStyle="1">
    <w:name w:val="样式1"/>
    <w:basedOn w:val="688"/>
    <w:uiPriority w:val="0"/>
    <w:qFormat/>
    <w:pPr>
      <w:numPr>
        <w:ilvl w:val="0"/>
        <w:numId w:val="3"/>
      </w:numPr>
    </w:pPr>
    <w:rPr>
      <w:rFonts w:ascii="宋体" w:hAnsi="宋体" w:eastAsia="宋体" w:cs="Times New Roman"/>
      <w:szCs w:val="21"/>
    </w:rPr>
  </w:style>
  <w:style w:type="paragraph" w:styleId="976"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80"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3"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Char Char Char Char"/>
    <w:basedOn w:val="903"/>
    <w:uiPriority w:val="0"/>
    <w:qFormat/>
    <w:pPr>
      <w:spacing w:line="360" w:lineRule="auto"/>
    </w:pPr>
    <w:rPr>
      <w:rFonts w:ascii="Tahoma" w:hAnsi="Tahoma"/>
      <w:sz w:val="24"/>
      <w:szCs w:val="24"/>
    </w:rPr>
  </w:style>
  <w:style w:type="paragraph" w:styleId="987"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9"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2" w:customStyle="1">
    <w:name w:val="Table Normal"/>
    <w:uiPriority w:val="0"/>
    <w:qFormat/>
    <w:rPr>
      <w:lang w:val="en-US" w:eastAsia="zh-CN" w:bidi="ar-SA"/>
    </w:rPr>
    <w:tblPr/>
  </w:style>
  <w:style w:type="paragraph" w:styleId="993" w:customStyle="1">
    <w:name w:val="正文文本12"/>
    <w:basedOn w:val="688"/>
    <w:uiPriority w:val="1"/>
    <w:qFormat/>
    <w:pPr>
      <w:ind w:left="120"/>
    </w:pPr>
    <w:rPr>
      <w:rFonts w:ascii="宋体" w:hAnsi="宋体" w:eastAsia="宋体" w:cs="宋体"/>
      <w:sz w:val="21"/>
      <w:szCs w:val="21"/>
      <w:lang w:val="zh-CN" w:eastAsia="zh-CN" w:bidi="zh-CN"/>
    </w:rPr>
  </w:style>
  <w:style w:type="paragraph" w:styleId="994" w:customStyle="1">
    <w:name w:val="正文文本 211"/>
    <w:basedOn w:val="688"/>
    <w:uiPriority w:val="99"/>
    <w:qFormat/>
    <w:pPr>
      <w:jc w:val="center"/>
    </w:pPr>
    <w:rPr>
      <w:b/>
      <w:bCs/>
      <w:sz w:val="20"/>
      <w:szCs w:val="20"/>
    </w:rPr>
  </w:style>
  <w:style w:type="paragraph" w:styleId="995" w:customStyle="1">
    <w:name w:val="正文文本1"/>
    <w:basedOn w:val="688"/>
    <w:next w:val="688"/>
    <w:uiPriority w:val="0"/>
    <w:semiHidden/>
    <w:qFormat/>
    <w:rPr>
      <w:rFonts w:ascii="Arial" w:hAnsi="Arial" w:eastAsia="Arial" w:cs="Arial"/>
      <w:sz w:val="21"/>
      <w:szCs w:val="21"/>
      <w:lang w:val="en-US" w:eastAsia="en-US" w:bidi="ar-SA"/>
    </w:rPr>
  </w:style>
  <w:style w:type="paragraph" w:styleId="996" w:customStyle="1">
    <w:name w:val="Table Paragraph"/>
    <w:basedOn w:val="688"/>
    <w:uiPriority w:val="1"/>
    <w:qFormat/>
    <w:pPr>
      <w:jc w:val="left"/>
    </w:pPr>
    <w:rPr>
      <w:rFonts w:ascii="宋体" w:hAnsi="宋体" w:eastAsia="宋体" w:cs="宋体"/>
      <w:sz w:val="22"/>
      <w:szCs w:val="22"/>
      <w:lang w:val="zh-CN" w:bidi="zh-CN"/>
    </w:rPr>
  </w:style>
  <w:style w:type="table" w:styleId="997" w:customStyle="1">
    <w:name w:val="网格型1"/>
    <w:basedOn w:val="998"/>
    <w:uiPriority w:val="0"/>
    <w:qFormat/>
    <w:pPr>
      <w:jc w:val="both"/>
      <w:widowControl w:val="off"/>
    </w:pPr>
    <w:tblPr/>
  </w:style>
  <w:style w:type="table" w:styleId="998" w:customStyle="1">
    <w:name w:val="普通表格1"/>
    <w:uiPriority w:val="99"/>
    <w:unhideWhenUsed/>
    <w:qFormat/>
    <w:rPr>
      <w:lang w:val="en-US" w:eastAsia="zh-CN" w:bidi="ar-SA"/>
    </w:rPr>
    <w:tblPr/>
  </w:style>
  <w:style w:type="paragraph" w:styleId="999" w:customStyle="1">
    <w:name w:val="正文文本缩进1"/>
    <w:basedOn w:val="688"/>
    <w:next w:val="1000"/>
    <w:uiPriority w:val="0"/>
    <w:unhideWhenUsed/>
    <w:qFormat/>
    <w:pPr>
      <w:ind w:left="420"/>
      <w:spacing w:after="120"/>
    </w:pPr>
  </w:style>
  <w:style w:type="paragraph" w:styleId="1000" w:customStyle="1">
    <w:name w:val="正文首行缩进 21"/>
    <w:basedOn w:val="999"/>
    <w:uiPriority w:val="0"/>
    <w:qFormat/>
    <w:pPr>
      <w:ind w:left="0" w:firstLine="420"/>
      <w:spacing w:after="0" w:line="360" w:lineRule="auto"/>
    </w:pPr>
    <w:rPr>
      <w:rFonts w:ascii="宋体" w:hAnsi="宋体"/>
      <w:sz w:val="20"/>
      <w:szCs w:val="20"/>
      <w:lang w:val="en-US" w:eastAsia="en-US"/>
    </w:rPr>
  </w:style>
  <w:style w:type="character" w:styleId="1001" w:customStyle="1">
    <w:name w:val="font41"/>
    <w:link w:val="688"/>
    <w:uiPriority w:val="0"/>
    <w:qFormat/>
    <w:rPr>
      <w:rFonts w:hint="eastAsia" w:ascii="宋体" w:hAnsi="宋体" w:eastAsia="宋体" w:cs="宋体"/>
      <w:color w:val="000000"/>
      <w:sz w:val="24"/>
      <w:szCs w:val="24"/>
      <w:u w:val="none"/>
    </w:rPr>
  </w:style>
  <w:style w:type="paragraph" w:styleId="1002" w:customStyle="1">
    <w:name w:val="首行缩进"/>
    <w:basedOn w:val="688"/>
    <w:uiPriority w:val="0"/>
    <w:qFormat/>
    <w:pPr>
      <w:ind w:firstLine="480"/>
      <w:spacing w:line="360" w:lineRule="auto"/>
      <w:widowControl/>
    </w:pPr>
    <w:rPr>
      <w:rFonts w:ascii="宋体"/>
      <w:sz w:val="24"/>
      <w:szCs w:val="20"/>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6</cp:revision>
  <dcterms:created xsi:type="dcterms:W3CDTF">2025-12-02T09:23:00Z</dcterms:created>
  <dcterms:modified xsi:type="dcterms:W3CDTF">2025-12-05T02:09:53Z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eyJoZGlkIjoiMzEwNTM5NzYwMDRjMzkwZTVkZjY2ODkwMGIxNGU0OTUiLCJ1c2VySWQiOiI0MDQyNTAyOTQifQ==</vt:lpwstr>
  </property>
  <property fmtid="{D5CDD505-2E9C-101B-9397-08002B2CF9AE}" pid="4" name="ICV">
    <vt:lpwstr>2A8E820B41434B8E9946695F4EB8F1B6_12</vt:lpwstr>
  </property>
</Properties>
</file>